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1446B" w14:textId="3B801274" w:rsidR="00035461" w:rsidRPr="00A80EDE" w:rsidRDefault="00654B9E" w:rsidP="00A80EDE">
      <w:pPr>
        <w:pStyle w:val="Bullet"/>
        <w:suppressAutoHyphens/>
        <w:rPr>
          <w:rFonts w:eastAsia="MS Gothic"/>
          <w:bCs/>
          <w:kern w:val="28"/>
          <w14:ligatures w14:val="standardContextual"/>
        </w:rPr>
      </w:pPr>
      <w:bookmarkStart w:id="0" w:name="_Toc503792931"/>
      <w:bookmarkStart w:id="1" w:name="_Toc375051828"/>
      <w:r w:rsidRPr="00A80EDE">
        <w:rPr>
          <w:noProof/>
        </w:rPr>
        <w:drawing>
          <wp:anchor distT="0" distB="0" distL="114300" distR="114300" simplePos="0" relativeHeight="251658242" behindDoc="0" locked="0" layoutInCell="1" allowOverlap="1" wp14:anchorId="6E652BE6" wp14:editId="3A521316">
            <wp:simplePos x="0" y="0"/>
            <wp:positionH relativeFrom="column">
              <wp:posOffset>5072380</wp:posOffset>
            </wp:positionH>
            <wp:positionV relativeFrom="paragraph">
              <wp:posOffset>-1232535</wp:posOffset>
            </wp:positionV>
            <wp:extent cx="1520190" cy="909720"/>
            <wp:effectExtent l="0" t="0" r="3810" b="5080"/>
            <wp:wrapNone/>
            <wp:docPr id="137467008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0088" name="Picture 1" descr="A white background with black and white clouds&#10;&#10;AI-generated content may be incorrect."/>
                    <pic:cNvPicPr/>
                  </pic:nvPicPr>
                  <pic:blipFill>
                    <a:blip r:embed="rId11"/>
                    <a:stretch>
                      <a:fillRect/>
                    </a:stretch>
                  </pic:blipFill>
                  <pic:spPr>
                    <a:xfrm>
                      <a:off x="0" y="0"/>
                      <a:ext cx="1520190" cy="909720"/>
                    </a:xfrm>
                    <a:prstGeom prst="rect">
                      <a:avLst/>
                    </a:prstGeom>
                  </pic:spPr>
                </pic:pic>
              </a:graphicData>
            </a:graphic>
            <wp14:sizeRelH relativeFrom="margin">
              <wp14:pctWidth>0</wp14:pctWidth>
            </wp14:sizeRelH>
            <wp14:sizeRelV relativeFrom="margin">
              <wp14:pctHeight>0</wp14:pctHeight>
            </wp14:sizeRelV>
          </wp:anchor>
        </w:drawing>
      </w:r>
      <w:r w:rsidR="00A537D7" w:rsidRPr="00A80EDE">
        <w:rPr>
          <w:noProof/>
        </w:rPr>
        <w:drawing>
          <wp:anchor distT="0" distB="0" distL="0" distR="0" simplePos="0" relativeHeight="251658240" behindDoc="1" locked="0" layoutInCell="1" hidden="0" allowOverlap="1" wp14:anchorId="79B308A2" wp14:editId="645F204B">
            <wp:simplePos x="0" y="0"/>
            <wp:positionH relativeFrom="page">
              <wp:posOffset>295</wp:posOffset>
            </wp:positionH>
            <wp:positionV relativeFrom="page">
              <wp:posOffset>-425302</wp:posOffset>
            </wp:positionV>
            <wp:extent cx="7896225" cy="11125200"/>
            <wp:effectExtent l="0" t="0" r="9525" b="0"/>
            <wp:wrapNone/>
            <wp:docPr id="36" name="image10.png" descr="A white background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10.png" descr="A white background with black lines&#10;&#10;AI-generated content may be incorrect."/>
                    <pic:cNvPicPr preferRelativeResize="0"/>
                  </pic:nvPicPr>
                  <pic:blipFill>
                    <a:blip r:embed="rId12"/>
                    <a:srcRect/>
                    <a:stretch>
                      <a:fillRect/>
                    </a:stretch>
                  </pic:blipFill>
                  <pic:spPr>
                    <a:xfrm>
                      <a:off x="0" y="0"/>
                      <a:ext cx="7896225" cy="11125200"/>
                    </a:xfrm>
                    <a:prstGeom prst="rect">
                      <a:avLst/>
                    </a:prstGeom>
                    <a:ln/>
                  </pic:spPr>
                </pic:pic>
              </a:graphicData>
            </a:graphic>
            <wp14:sizeRelH relativeFrom="margin">
              <wp14:pctWidth>0</wp14:pctWidth>
            </wp14:sizeRelH>
            <wp14:sizeRelV relativeFrom="margin">
              <wp14:pctHeight>0</wp14:pctHeight>
            </wp14:sizeRelV>
          </wp:anchor>
        </w:drawing>
      </w:r>
    </w:p>
    <w:p w14:paraId="00FA6736" w14:textId="77777777" w:rsidR="00035461" w:rsidRPr="00A80EDE" w:rsidRDefault="0054010F" w:rsidP="00A80EDE">
      <w:pPr>
        <w:suppressAutoHyphens/>
        <w:rPr>
          <w:rFonts w:eastAsia="MS Gothic"/>
        </w:rPr>
      </w:pPr>
      <w:r w:rsidRPr="00A80EDE">
        <w:rPr>
          <w:noProof/>
        </w:rPr>
        <mc:AlternateContent>
          <mc:Choice Requires="wps">
            <w:drawing>
              <wp:anchor distT="0" distB="0" distL="114300" distR="114300" simplePos="0" relativeHeight="251658244" behindDoc="0" locked="0" layoutInCell="1" hidden="0" allowOverlap="1" wp14:anchorId="3066B763" wp14:editId="54A8809B">
                <wp:simplePos x="0" y="0"/>
                <wp:positionH relativeFrom="margin">
                  <wp:posOffset>-108585</wp:posOffset>
                </wp:positionH>
                <wp:positionV relativeFrom="margin">
                  <wp:posOffset>654875</wp:posOffset>
                </wp:positionV>
                <wp:extent cx="6537325" cy="6414447"/>
                <wp:effectExtent l="0" t="0" r="15875" b="5715"/>
                <wp:wrapNone/>
                <wp:docPr id="29" name="Rectangle 29"/>
                <wp:cNvGraphicFramePr/>
                <a:graphic xmlns:a="http://schemas.openxmlformats.org/drawingml/2006/main">
                  <a:graphicData uri="http://schemas.microsoft.com/office/word/2010/wordprocessingShape">
                    <wps:wsp>
                      <wps:cNvSpPr/>
                      <wps:spPr>
                        <a:xfrm>
                          <a:off x="0" y="0"/>
                          <a:ext cx="6537325" cy="6414447"/>
                        </a:xfrm>
                        <a:prstGeom prst="rect">
                          <a:avLst/>
                        </a:prstGeom>
                        <a:noFill/>
                        <a:ln>
                          <a:noFill/>
                        </a:ln>
                      </wps:spPr>
                      <wps:txbx>
                        <w:txbxContent>
                          <w:p w14:paraId="051676A6" w14:textId="77777777" w:rsidR="00E704B9" w:rsidRPr="00A80EDE" w:rsidRDefault="00E704B9" w:rsidP="002D52FD">
                            <w:pPr>
                              <w:rPr>
                                <w:rFonts w:eastAsia="MS Gothic"/>
                              </w:rPr>
                            </w:pPr>
                          </w:p>
                          <w:p w14:paraId="49D268DE" w14:textId="77777777" w:rsidR="00E704B9" w:rsidRPr="00A80EDE" w:rsidRDefault="00E704B9" w:rsidP="002D52FD">
                            <w:pPr>
                              <w:rPr>
                                <w:rFonts w:eastAsia="MS Gothic"/>
                              </w:rPr>
                            </w:pPr>
                          </w:p>
                          <w:p w14:paraId="280DDDB7" w14:textId="77777777" w:rsidR="00E704B9" w:rsidRPr="00A80EDE" w:rsidRDefault="00E704B9" w:rsidP="002D52FD">
                            <w:pPr>
                              <w:rPr>
                                <w:rFonts w:eastAsia="MS Gothic"/>
                              </w:rPr>
                            </w:pPr>
                          </w:p>
                          <w:p w14:paraId="36FF6E34" w14:textId="77777777" w:rsidR="00E704B9" w:rsidRPr="00A80EDE" w:rsidRDefault="00E704B9" w:rsidP="002D52FD">
                            <w:pPr>
                              <w:rPr>
                                <w:rFonts w:eastAsia="MS Gothic"/>
                              </w:rPr>
                            </w:pPr>
                          </w:p>
                          <w:p w14:paraId="003387A1" w14:textId="77777777" w:rsidR="00E704B9" w:rsidRPr="00A80EDE" w:rsidRDefault="00E704B9" w:rsidP="002D52FD">
                            <w:pPr>
                              <w:rPr>
                                <w:rFonts w:eastAsia="MS Gothic"/>
                              </w:rPr>
                            </w:pPr>
                          </w:p>
                          <w:p w14:paraId="53E6CA95" w14:textId="77777777" w:rsidR="00E704B9" w:rsidRPr="00A80EDE" w:rsidRDefault="00E704B9" w:rsidP="002D52FD">
                            <w:pPr>
                              <w:rPr>
                                <w:rFonts w:eastAsia="MS Gothic"/>
                              </w:rPr>
                            </w:pPr>
                          </w:p>
                          <w:p w14:paraId="57F69E94" w14:textId="77777777" w:rsidR="00E704B9" w:rsidRPr="00A80EDE" w:rsidRDefault="00E704B9" w:rsidP="002D52FD">
                            <w:pPr>
                              <w:rPr>
                                <w:rFonts w:eastAsia="MS Gothic"/>
                              </w:rPr>
                            </w:pPr>
                          </w:p>
                          <w:p w14:paraId="2B2E83EF" w14:textId="77777777" w:rsidR="00E704B9" w:rsidRPr="00A80EDE" w:rsidRDefault="00E704B9" w:rsidP="002D52FD">
                            <w:pPr>
                              <w:rPr>
                                <w:rFonts w:eastAsia="MS Gothic"/>
                              </w:rPr>
                            </w:pPr>
                          </w:p>
                          <w:p w14:paraId="32883E71" w14:textId="77777777" w:rsidR="00E704B9" w:rsidRPr="00A80EDE" w:rsidRDefault="00E704B9" w:rsidP="002D52FD">
                            <w:pPr>
                              <w:rPr>
                                <w:rFonts w:eastAsia="MS Gothic"/>
                              </w:rPr>
                            </w:pPr>
                            <w:bookmarkStart w:id="2" w:name="_Hlk193967649"/>
                          </w:p>
                          <w:p w14:paraId="2FD04DFE" w14:textId="77777777" w:rsidR="00E704B9" w:rsidRPr="00A80EDE" w:rsidRDefault="00E704B9" w:rsidP="002D52FD">
                            <w:pPr>
                              <w:rPr>
                                <w:rFonts w:eastAsia="MS Gothic"/>
                              </w:rPr>
                            </w:pPr>
                          </w:p>
                          <w:p w14:paraId="654CD40D" w14:textId="4B8374D6" w:rsidR="00E704B9" w:rsidRPr="00A80EDE" w:rsidRDefault="00E704B9" w:rsidP="00BD5613">
                            <w:pPr>
                              <w:spacing w:after="360" w:line="240" w:lineRule="auto"/>
                              <w:contextualSpacing/>
                              <w:jc w:val="right"/>
                              <w:rPr>
                                <w:rFonts w:ascii="Arial Bold" w:eastAsia="MS Gothic" w:hAnsi="Arial Bold" w:cs="Arial Bold" w:hint="eastAsia"/>
                                <w:b/>
                                <w:bCs/>
                                <w:color w:val="156082" w:themeColor="accent1"/>
                                <w:kern w:val="28"/>
                                <w:sz w:val="40"/>
                                <w:szCs w:val="40"/>
                                <w:lang w:eastAsia="ro-RO"/>
                                <w14:ligatures w14:val="standardContextual"/>
                              </w:rPr>
                            </w:pPr>
                            <w:r w:rsidRPr="00A80EDE">
                              <w:rPr>
                                <w:rFonts w:ascii="Arial Bold" w:eastAsia="MS Gothic" w:hAnsi="Arial Bold" w:cs="Arial Bold"/>
                                <w:b/>
                                <w:bCs/>
                                <w:color w:val="156082" w:themeColor="accent1"/>
                                <w:kern w:val="28"/>
                                <w:sz w:val="40"/>
                                <w:szCs w:val="40"/>
                                <w:lang w:eastAsia="ro-RO"/>
                                <w14:ligatures w14:val="standardContextual"/>
                              </w:rPr>
                              <w:t>Consultancy services for the evaluation of the Center Region Program</w:t>
                            </w:r>
                            <w:r w:rsidRPr="00A80EDE" w:rsidDel="00240893">
                              <w:rPr>
                                <w:rFonts w:ascii="Arial Bold" w:eastAsia="MS Gothic" w:hAnsi="Arial Bold" w:cs="Arial Bold"/>
                                <w:b/>
                                <w:bCs/>
                                <w:color w:val="156082" w:themeColor="accent1"/>
                                <w:kern w:val="28"/>
                                <w:sz w:val="40"/>
                                <w:szCs w:val="40"/>
                                <w:lang w:eastAsia="ro-RO"/>
                                <w14:ligatures w14:val="standardContextual"/>
                              </w:rPr>
                              <w:t xml:space="preserve"> </w:t>
                            </w:r>
                            <w:r w:rsidRPr="00A80EDE">
                              <w:rPr>
                                <w:rFonts w:ascii="Arial Bold" w:eastAsia="MS Gothic" w:hAnsi="Arial Bold" w:cs="Arial Bold"/>
                                <w:b/>
                                <w:bCs/>
                                <w:color w:val="156082" w:themeColor="accent1"/>
                                <w:kern w:val="28"/>
                                <w:sz w:val="40"/>
                                <w:szCs w:val="40"/>
                                <w:lang w:eastAsia="ro-RO"/>
                                <w14:ligatures w14:val="standardContextual"/>
                              </w:rPr>
                              <w:t>– Phase I</w:t>
                            </w:r>
                          </w:p>
                          <w:p w14:paraId="4F6FDB33" w14:textId="77777777" w:rsidR="00E704B9" w:rsidRPr="00A80EDE" w:rsidRDefault="00E704B9" w:rsidP="002D52FD">
                            <w:pPr>
                              <w:rPr>
                                <w:rFonts w:eastAsia="MS Gothic"/>
                              </w:rPr>
                            </w:pPr>
                          </w:p>
                          <w:p w14:paraId="113923A0" w14:textId="77777777" w:rsidR="00E704B9" w:rsidRPr="00A80EDE" w:rsidRDefault="00E704B9" w:rsidP="002D52FD"/>
                          <w:p w14:paraId="58185A69" w14:textId="77777777" w:rsidR="00E704B9" w:rsidRPr="00A80EDE" w:rsidRDefault="00E704B9" w:rsidP="002D52FD"/>
                          <w:p w14:paraId="39514B35" w14:textId="77777777" w:rsidR="00E704B9" w:rsidRPr="00A80EDE" w:rsidRDefault="00E704B9" w:rsidP="00BD5613">
                            <w:pPr>
                              <w:spacing w:before="240" w:line="240" w:lineRule="auto"/>
                              <w:contextualSpacing/>
                              <w:jc w:val="right"/>
                              <w:rPr>
                                <w:rFonts w:asciiTheme="minorHAnsi" w:eastAsiaTheme="minorEastAsia" w:hAnsiTheme="minorHAnsi" w:cstheme="minorHAnsi"/>
                                <w:b/>
                                <w:bCs/>
                                <w:color w:val="156082" w:themeColor="accent1"/>
                                <w:kern w:val="2"/>
                                <w:sz w:val="32"/>
                                <w:szCs w:val="32"/>
                                <w:lang w:eastAsia="ro-RO"/>
                                <w14:ligatures w14:val="standardContextual"/>
                              </w:rPr>
                            </w:pPr>
                            <w:r w:rsidRPr="00A80EDE">
                              <w:rPr>
                                <w:rFonts w:asciiTheme="minorHAnsi" w:eastAsiaTheme="minorEastAsia" w:hAnsiTheme="minorHAnsi" w:cstheme="minorHAnsi"/>
                                <w:b/>
                                <w:bCs/>
                                <w:color w:val="156082" w:themeColor="accent1"/>
                                <w:kern w:val="2"/>
                                <w:sz w:val="32"/>
                                <w:szCs w:val="32"/>
                                <w:lang w:eastAsia="ro-RO"/>
                                <w14:ligatures w14:val="standardContextual"/>
                              </w:rPr>
                              <w:t>The Contracting Authority:</w:t>
                            </w:r>
                          </w:p>
                          <w:p w14:paraId="7EBEFAA7" w14:textId="77777777" w:rsidR="00E704B9" w:rsidRPr="00A80EDE" w:rsidRDefault="00E704B9" w:rsidP="00BD5613">
                            <w:pPr>
                              <w:spacing w:before="240" w:line="240" w:lineRule="auto"/>
                              <w:contextualSpacing/>
                              <w:jc w:val="right"/>
                              <w:rPr>
                                <w:rFonts w:asciiTheme="minorHAnsi" w:eastAsiaTheme="minorEastAsia" w:hAnsiTheme="minorHAnsi" w:cstheme="minorHAnsi"/>
                                <w:color w:val="156082" w:themeColor="accent1"/>
                                <w:kern w:val="2"/>
                                <w:sz w:val="32"/>
                                <w:szCs w:val="32"/>
                                <w:lang w:eastAsia="ro-RO"/>
                                <w14:ligatures w14:val="standardContextual"/>
                              </w:rPr>
                            </w:pPr>
                            <w:r w:rsidRPr="00A80EDE">
                              <w:rPr>
                                <w:rFonts w:asciiTheme="minorHAnsi" w:eastAsiaTheme="minorEastAsia" w:hAnsiTheme="minorHAnsi" w:cstheme="minorHAnsi"/>
                                <w:color w:val="156082" w:themeColor="accent1"/>
                                <w:kern w:val="2"/>
                                <w:sz w:val="32"/>
                                <w:szCs w:val="32"/>
                                <w:lang w:eastAsia="ro-RO"/>
                                <w14:ligatures w14:val="standardContextual"/>
                              </w:rPr>
                              <w:t>Centre Regional Development Agency</w:t>
                            </w:r>
                          </w:p>
                          <w:p w14:paraId="7FA2E707" w14:textId="77777777" w:rsidR="00E704B9" w:rsidRPr="00A80EDE" w:rsidRDefault="00E704B9" w:rsidP="002D52FD"/>
                          <w:p w14:paraId="2785FC3E" w14:textId="77777777" w:rsidR="00E704B9" w:rsidRPr="00A80EDE" w:rsidRDefault="00E704B9" w:rsidP="00BD5613">
                            <w:pPr>
                              <w:spacing w:before="40" w:after="40" w:line="275" w:lineRule="auto"/>
                              <w:ind w:left="1440"/>
                              <w:jc w:val="right"/>
                              <w:rPr>
                                <w:rFonts w:asciiTheme="minorHAnsi" w:eastAsiaTheme="minorEastAsia" w:hAnsiTheme="minorHAnsi" w:cstheme="minorHAnsi"/>
                                <w:b/>
                                <w:color w:val="156082" w:themeColor="accent1"/>
                                <w:sz w:val="28"/>
                                <w:szCs w:val="36"/>
                                <w:lang w:eastAsia="ro-RO"/>
                              </w:rPr>
                            </w:pPr>
                            <w:r w:rsidRPr="00A80EDE">
                              <w:rPr>
                                <w:rFonts w:asciiTheme="minorHAnsi" w:eastAsiaTheme="minorEastAsia" w:hAnsiTheme="minorHAnsi" w:cstheme="minorHAnsi"/>
                                <w:b/>
                                <w:color w:val="156082" w:themeColor="accent1"/>
                                <w:sz w:val="28"/>
                                <w:szCs w:val="36"/>
                                <w:lang w:eastAsia="ro-RO"/>
                              </w:rPr>
                              <w:t>Evaluation Report Topic 7</w:t>
                            </w:r>
                          </w:p>
                          <w:p w14:paraId="5A2AA45F" w14:textId="0D260A31" w:rsidR="00E704B9" w:rsidRPr="00A80EDE" w:rsidRDefault="00E704B9" w:rsidP="00BD5613">
                            <w:pPr>
                              <w:spacing w:before="40" w:after="40" w:line="275" w:lineRule="auto"/>
                              <w:ind w:left="1440"/>
                              <w:jc w:val="right"/>
                              <w:rPr>
                                <w:rFonts w:asciiTheme="minorHAnsi" w:eastAsiaTheme="minorEastAsia" w:hAnsiTheme="minorHAnsi" w:cstheme="minorHAnsi"/>
                                <w:bCs/>
                                <w:i/>
                                <w:iCs/>
                                <w:color w:val="156082" w:themeColor="accent1"/>
                                <w:sz w:val="28"/>
                                <w:szCs w:val="36"/>
                                <w:lang w:eastAsia="ro-RO"/>
                              </w:rPr>
                            </w:pPr>
                            <w:r w:rsidRPr="00A80EDE">
                              <w:rPr>
                                <w:rFonts w:asciiTheme="minorHAnsi" w:eastAsiaTheme="minorEastAsia" w:hAnsiTheme="minorHAnsi" w:cstheme="minorHAnsi"/>
                                <w:bCs/>
                                <w:i/>
                                <w:iCs/>
                                <w:color w:val="156082" w:themeColor="accent1"/>
                                <w:sz w:val="28"/>
                                <w:szCs w:val="36"/>
                                <w:lang w:eastAsia="ro-RO"/>
                              </w:rPr>
                              <w:t>"Analysis of the implementation system of the PR Center"</w:t>
                            </w:r>
                          </w:p>
                          <w:p w14:paraId="30F0C626" w14:textId="77777777" w:rsidR="00E704B9" w:rsidRPr="00A80EDE" w:rsidRDefault="00E704B9" w:rsidP="002D52FD">
                            <w:pPr>
                              <w:rPr>
                                <w:bCs/>
                                <w:i/>
                                <w:iCs/>
                              </w:rPr>
                            </w:pPr>
                          </w:p>
                          <w:p w14:paraId="1FEE8064" w14:textId="77777777" w:rsidR="00E704B9" w:rsidRPr="00A80EDE" w:rsidRDefault="00E704B9" w:rsidP="002D52FD"/>
                          <w:bookmarkEnd w:id="2"/>
                          <w:p w14:paraId="1BC034FA" w14:textId="77777777" w:rsidR="00E704B9" w:rsidRPr="00A80EDE" w:rsidRDefault="00E704B9" w:rsidP="002D52FD"/>
                          <w:p w14:paraId="37BD1A96" w14:textId="77777777" w:rsidR="00E704B9" w:rsidRPr="00A80EDE" w:rsidRDefault="00E704B9" w:rsidP="002D52FD"/>
                          <w:p w14:paraId="6CB1B612" w14:textId="77777777" w:rsidR="00E704B9" w:rsidRPr="00A80EDE" w:rsidRDefault="00E704B9" w:rsidP="002D52FD"/>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66B763" id="Rectangle 29" o:spid="_x0000_s1026" style="position:absolute;left:0;text-align:left;margin-left:-8.55pt;margin-top:51.55pt;width:514.75pt;height:505.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" filled="f" stroked="f">
                <v:textbox inset="0,0,0,0">
                  <w:txbxContent>
                    <w:p w14:paraId="051676A6" w14:textId="77777777" w:rsidR="00E704B9" w:rsidRPr="00A80EDE" w:rsidRDefault="00E704B9" w:rsidP="002D52FD">
                      <w:pPr>
                        <w:rPr>
                          <w:rFonts w:eastAsia="MS Gothic"/>
                        </w:rPr>
                      </w:pPr>
                    </w:p>
                    <w:p w14:paraId="49D268DE" w14:textId="77777777" w:rsidR="00E704B9" w:rsidRPr="00A80EDE" w:rsidRDefault="00E704B9" w:rsidP="002D52FD">
                      <w:pPr>
                        <w:rPr>
                          <w:rFonts w:eastAsia="MS Gothic"/>
                        </w:rPr>
                      </w:pPr>
                    </w:p>
                    <w:p w14:paraId="280DDDB7" w14:textId="77777777" w:rsidR="00E704B9" w:rsidRPr="00A80EDE" w:rsidRDefault="00E704B9" w:rsidP="002D52FD">
                      <w:pPr>
                        <w:rPr>
                          <w:rFonts w:eastAsia="MS Gothic"/>
                        </w:rPr>
                      </w:pPr>
                    </w:p>
                    <w:p w14:paraId="36FF6E34" w14:textId="77777777" w:rsidR="00E704B9" w:rsidRPr="00A80EDE" w:rsidRDefault="00E704B9" w:rsidP="002D52FD">
                      <w:pPr>
                        <w:rPr>
                          <w:rFonts w:eastAsia="MS Gothic"/>
                        </w:rPr>
                      </w:pPr>
                    </w:p>
                    <w:p w14:paraId="003387A1" w14:textId="77777777" w:rsidR="00E704B9" w:rsidRPr="00A80EDE" w:rsidRDefault="00E704B9" w:rsidP="002D52FD">
                      <w:pPr>
                        <w:rPr>
                          <w:rFonts w:eastAsia="MS Gothic"/>
                        </w:rPr>
                      </w:pPr>
                    </w:p>
                    <w:p w14:paraId="53E6CA95" w14:textId="77777777" w:rsidR="00E704B9" w:rsidRPr="00A80EDE" w:rsidRDefault="00E704B9" w:rsidP="002D52FD">
                      <w:pPr>
                        <w:rPr>
                          <w:rFonts w:eastAsia="MS Gothic"/>
                        </w:rPr>
                      </w:pPr>
                    </w:p>
                    <w:p w14:paraId="57F69E94" w14:textId="77777777" w:rsidR="00E704B9" w:rsidRPr="00A80EDE" w:rsidRDefault="00E704B9" w:rsidP="002D52FD">
                      <w:pPr>
                        <w:rPr>
                          <w:rFonts w:eastAsia="MS Gothic"/>
                        </w:rPr>
                      </w:pPr>
                    </w:p>
                    <w:p w14:paraId="2B2E83EF" w14:textId="77777777" w:rsidR="00E704B9" w:rsidRPr="00A80EDE" w:rsidRDefault="00E704B9" w:rsidP="002D52FD">
                      <w:pPr>
                        <w:rPr>
                          <w:rFonts w:eastAsia="MS Gothic"/>
                        </w:rPr>
                      </w:pPr>
                    </w:p>
                    <w:p w14:paraId="32883E71" w14:textId="77777777" w:rsidR="00E704B9" w:rsidRPr="00A80EDE" w:rsidRDefault="00E704B9" w:rsidP="002D52FD">
                      <w:pPr>
                        <w:rPr>
                          <w:rFonts w:eastAsia="MS Gothic"/>
                        </w:rPr>
                      </w:pPr>
                      <w:bookmarkStart w:id="3" w:name="_Hlk193967649"/>
                    </w:p>
                    <w:p w14:paraId="2FD04DFE" w14:textId="77777777" w:rsidR="00E704B9" w:rsidRPr="00A80EDE" w:rsidRDefault="00E704B9" w:rsidP="002D52FD">
                      <w:pPr>
                        <w:rPr>
                          <w:rFonts w:eastAsia="MS Gothic"/>
                        </w:rPr>
                      </w:pPr>
                    </w:p>
                    <w:p w14:paraId="654CD40D" w14:textId="4B8374D6" w:rsidR="00E704B9" w:rsidRPr="00A80EDE" w:rsidRDefault="00E704B9" w:rsidP="00BD5613">
                      <w:pPr>
                        <w:spacing w:after="360" w:line="240" w:lineRule="auto"/>
                        <w:contextualSpacing/>
                        <w:jc w:val="right"/>
                        <w:rPr>
                          <w:rFonts w:ascii="Arial Bold" w:eastAsia="MS Gothic" w:hAnsi="Arial Bold" w:cs="Arial Bold" w:hint="eastAsia"/>
                          <w:b/>
                          <w:bCs/>
                          <w:color w:val="156082" w:themeColor="accent1"/>
                          <w:kern w:val="28"/>
                          <w:sz w:val="40"/>
                          <w:szCs w:val="40"/>
                          <w:lang w:eastAsia="ro-RO"/>
                          <w14:ligatures w14:val="standardContextual"/>
                        </w:rPr>
                      </w:pPr>
                      <w:r w:rsidRPr="00A80EDE">
                        <w:rPr>
                          <w:rFonts w:ascii="Arial Bold" w:eastAsia="MS Gothic" w:hAnsi="Arial Bold" w:cs="Arial Bold"/>
                          <w:b/>
                          <w:bCs/>
                          <w:color w:val="156082" w:themeColor="accent1"/>
                          <w:kern w:val="28"/>
                          <w:sz w:val="40"/>
                          <w:szCs w:val="40"/>
                          <w:lang w:eastAsia="ro-RO"/>
                          <w14:ligatures w14:val="standardContextual"/>
                        </w:rPr>
                        <w:t>Consultancy services for the evaluation of the Center Region Program</w:t>
                      </w:r>
                      <w:r w:rsidRPr="00A80EDE" w:rsidDel="00240893">
                        <w:rPr>
                          <w:rFonts w:ascii="Arial Bold" w:eastAsia="MS Gothic" w:hAnsi="Arial Bold" w:cs="Arial Bold"/>
                          <w:b/>
                          <w:bCs/>
                          <w:color w:val="156082" w:themeColor="accent1"/>
                          <w:kern w:val="28"/>
                          <w:sz w:val="40"/>
                          <w:szCs w:val="40"/>
                          <w:lang w:eastAsia="ro-RO"/>
                          <w14:ligatures w14:val="standardContextual"/>
                        </w:rPr>
                        <w:t xml:space="preserve"> </w:t>
                      </w:r>
                      <w:r w:rsidRPr="00A80EDE">
                        <w:rPr>
                          <w:rFonts w:ascii="Arial Bold" w:eastAsia="MS Gothic" w:hAnsi="Arial Bold" w:cs="Arial Bold"/>
                          <w:b/>
                          <w:bCs/>
                          <w:color w:val="156082" w:themeColor="accent1"/>
                          <w:kern w:val="28"/>
                          <w:sz w:val="40"/>
                          <w:szCs w:val="40"/>
                          <w:lang w:eastAsia="ro-RO"/>
                          <w14:ligatures w14:val="standardContextual"/>
                        </w:rPr>
                        <w:t>– Phase I</w:t>
                      </w:r>
                    </w:p>
                    <w:p w14:paraId="4F6FDB33" w14:textId="77777777" w:rsidR="00E704B9" w:rsidRPr="00A80EDE" w:rsidRDefault="00E704B9" w:rsidP="002D52FD">
                      <w:pPr>
                        <w:rPr>
                          <w:rFonts w:eastAsia="MS Gothic"/>
                        </w:rPr>
                      </w:pPr>
                    </w:p>
                    <w:p w14:paraId="113923A0" w14:textId="77777777" w:rsidR="00E704B9" w:rsidRPr="00A80EDE" w:rsidRDefault="00E704B9" w:rsidP="002D52FD"/>
                    <w:p w14:paraId="58185A69" w14:textId="77777777" w:rsidR="00E704B9" w:rsidRPr="00A80EDE" w:rsidRDefault="00E704B9" w:rsidP="002D52FD"/>
                    <w:p w14:paraId="39514B35" w14:textId="77777777" w:rsidR="00E704B9" w:rsidRPr="00A80EDE" w:rsidRDefault="00E704B9" w:rsidP="00BD5613">
                      <w:pPr>
                        <w:spacing w:before="240" w:line="240" w:lineRule="auto"/>
                        <w:contextualSpacing/>
                        <w:jc w:val="right"/>
                        <w:rPr>
                          <w:rFonts w:asciiTheme="minorHAnsi" w:eastAsiaTheme="minorEastAsia" w:hAnsiTheme="minorHAnsi" w:cstheme="minorHAnsi"/>
                          <w:b/>
                          <w:bCs/>
                          <w:color w:val="156082" w:themeColor="accent1"/>
                          <w:kern w:val="2"/>
                          <w:sz w:val="32"/>
                          <w:szCs w:val="32"/>
                          <w:lang w:eastAsia="ro-RO"/>
                          <w14:ligatures w14:val="standardContextual"/>
                        </w:rPr>
                      </w:pPr>
                      <w:r w:rsidRPr="00A80EDE">
                        <w:rPr>
                          <w:rFonts w:asciiTheme="minorHAnsi" w:eastAsiaTheme="minorEastAsia" w:hAnsiTheme="minorHAnsi" w:cstheme="minorHAnsi"/>
                          <w:b/>
                          <w:bCs/>
                          <w:color w:val="156082" w:themeColor="accent1"/>
                          <w:kern w:val="2"/>
                          <w:sz w:val="32"/>
                          <w:szCs w:val="32"/>
                          <w:lang w:eastAsia="ro-RO"/>
                          <w14:ligatures w14:val="standardContextual"/>
                        </w:rPr>
                        <w:t>The Contracting Authority:</w:t>
                      </w:r>
                    </w:p>
                    <w:p w14:paraId="7EBEFAA7" w14:textId="77777777" w:rsidR="00E704B9" w:rsidRPr="00A80EDE" w:rsidRDefault="00E704B9" w:rsidP="00BD5613">
                      <w:pPr>
                        <w:spacing w:before="240" w:line="240" w:lineRule="auto"/>
                        <w:contextualSpacing/>
                        <w:jc w:val="right"/>
                        <w:rPr>
                          <w:rFonts w:asciiTheme="minorHAnsi" w:eastAsiaTheme="minorEastAsia" w:hAnsiTheme="minorHAnsi" w:cstheme="minorHAnsi"/>
                          <w:color w:val="156082" w:themeColor="accent1"/>
                          <w:kern w:val="2"/>
                          <w:sz w:val="32"/>
                          <w:szCs w:val="32"/>
                          <w:lang w:eastAsia="ro-RO"/>
                          <w14:ligatures w14:val="standardContextual"/>
                        </w:rPr>
                      </w:pPr>
                      <w:r w:rsidRPr="00A80EDE">
                        <w:rPr>
                          <w:rFonts w:asciiTheme="minorHAnsi" w:eastAsiaTheme="minorEastAsia" w:hAnsiTheme="minorHAnsi" w:cstheme="minorHAnsi"/>
                          <w:color w:val="156082" w:themeColor="accent1"/>
                          <w:kern w:val="2"/>
                          <w:sz w:val="32"/>
                          <w:szCs w:val="32"/>
                          <w:lang w:eastAsia="ro-RO"/>
                          <w14:ligatures w14:val="standardContextual"/>
                        </w:rPr>
                        <w:t>Centre Regional Development Agency</w:t>
                      </w:r>
                    </w:p>
                    <w:p w14:paraId="7FA2E707" w14:textId="77777777" w:rsidR="00E704B9" w:rsidRPr="00A80EDE" w:rsidRDefault="00E704B9" w:rsidP="002D52FD"/>
                    <w:p w14:paraId="2785FC3E" w14:textId="77777777" w:rsidR="00E704B9" w:rsidRPr="00A80EDE" w:rsidRDefault="00E704B9" w:rsidP="00BD5613">
                      <w:pPr>
                        <w:spacing w:before="40" w:after="40" w:line="275" w:lineRule="auto"/>
                        <w:ind w:left="1440"/>
                        <w:jc w:val="right"/>
                        <w:rPr>
                          <w:rFonts w:asciiTheme="minorHAnsi" w:eastAsiaTheme="minorEastAsia" w:hAnsiTheme="minorHAnsi" w:cstheme="minorHAnsi"/>
                          <w:b/>
                          <w:color w:val="156082" w:themeColor="accent1"/>
                          <w:sz w:val="28"/>
                          <w:szCs w:val="36"/>
                          <w:lang w:eastAsia="ro-RO"/>
                        </w:rPr>
                      </w:pPr>
                      <w:r w:rsidRPr="00A80EDE">
                        <w:rPr>
                          <w:rFonts w:asciiTheme="minorHAnsi" w:eastAsiaTheme="minorEastAsia" w:hAnsiTheme="minorHAnsi" w:cstheme="minorHAnsi"/>
                          <w:b/>
                          <w:color w:val="156082" w:themeColor="accent1"/>
                          <w:sz w:val="28"/>
                          <w:szCs w:val="36"/>
                          <w:lang w:eastAsia="ro-RO"/>
                        </w:rPr>
                        <w:t>Evaluation Report Topic 7</w:t>
                      </w:r>
                    </w:p>
                    <w:p w14:paraId="5A2AA45F" w14:textId="0D260A31" w:rsidR="00E704B9" w:rsidRPr="00A80EDE" w:rsidRDefault="00E704B9" w:rsidP="00BD5613">
                      <w:pPr>
                        <w:spacing w:before="40" w:after="40" w:line="275" w:lineRule="auto"/>
                        <w:ind w:left="1440"/>
                        <w:jc w:val="right"/>
                        <w:rPr>
                          <w:rFonts w:asciiTheme="minorHAnsi" w:eastAsiaTheme="minorEastAsia" w:hAnsiTheme="minorHAnsi" w:cstheme="minorHAnsi"/>
                          <w:bCs/>
                          <w:i/>
                          <w:iCs/>
                          <w:color w:val="156082" w:themeColor="accent1"/>
                          <w:sz w:val="28"/>
                          <w:szCs w:val="36"/>
                          <w:lang w:eastAsia="ro-RO"/>
                        </w:rPr>
                      </w:pPr>
                      <w:r w:rsidRPr="00A80EDE">
                        <w:rPr>
                          <w:rFonts w:asciiTheme="minorHAnsi" w:eastAsiaTheme="minorEastAsia" w:hAnsiTheme="minorHAnsi" w:cstheme="minorHAnsi"/>
                          <w:bCs/>
                          <w:i/>
                          <w:iCs/>
                          <w:color w:val="156082" w:themeColor="accent1"/>
                          <w:sz w:val="28"/>
                          <w:szCs w:val="36"/>
                          <w:lang w:eastAsia="ro-RO"/>
                        </w:rPr>
                        <w:t>"Analysis of the implementation system of the PR Center"</w:t>
                      </w:r>
                    </w:p>
                    <w:p w14:paraId="30F0C626" w14:textId="77777777" w:rsidR="00E704B9" w:rsidRPr="00A80EDE" w:rsidRDefault="00E704B9" w:rsidP="002D52FD">
                      <w:pPr>
                        <w:rPr>
                          <w:bCs/>
                          <w:i/>
                          <w:iCs/>
                        </w:rPr>
                      </w:pPr>
                    </w:p>
                    <w:p w14:paraId="1FEE8064" w14:textId="77777777" w:rsidR="00E704B9" w:rsidRPr="00A80EDE" w:rsidRDefault="00E704B9" w:rsidP="002D52FD"/>
                    <w:bookmarkEnd w:id="3"/>
                    <w:p w14:paraId="1BC034FA" w14:textId="77777777" w:rsidR="00E704B9" w:rsidRPr="00A80EDE" w:rsidRDefault="00E704B9" w:rsidP="002D52FD"/>
                    <w:p w14:paraId="37BD1A96" w14:textId="77777777" w:rsidR="00E704B9" w:rsidRPr="00A80EDE" w:rsidRDefault="00E704B9" w:rsidP="002D52FD"/>
                    <w:p w14:paraId="6CB1B612" w14:textId="77777777" w:rsidR="00E704B9" w:rsidRPr="00A80EDE" w:rsidRDefault="00E704B9" w:rsidP="002D52FD"/>
                  </w:txbxContent>
                </v:textbox>
                <w10:wrap anchorx="margin" anchory="margin"/>
              </v:rect>
            </w:pict>
          </mc:Fallback>
        </mc:AlternateContent>
      </w:r>
    </w:p>
    <w:p w14:paraId="215627C9" w14:textId="77777777" w:rsidR="003101F6" w:rsidRPr="00A80EDE" w:rsidRDefault="003101F6" w:rsidP="00A80EDE">
      <w:pPr>
        <w:suppressAutoHyphens/>
        <w:rPr>
          <w:rFonts w:eastAsia="MS Gothic"/>
        </w:rPr>
      </w:pPr>
    </w:p>
    <w:p w14:paraId="01410119" w14:textId="77777777" w:rsidR="003101F6" w:rsidRPr="00A80EDE" w:rsidRDefault="003101F6" w:rsidP="00A80EDE">
      <w:pPr>
        <w:suppressAutoHyphens/>
        <w:rPr>
          <w:rFonts w:eastAsia="MS Gothic"/>
        </w:rPr>
      </w:pPr>
    </w:p>
    <w:p w14:paraId="35D3C81A" w14:textId="7F798602" w:rsidR="003101F6" w:rsidRPr="00A80EDE" w:rsidRDefault="003101F6" w:rsidP="00A80EDE">
      <w:pPr>
        <w:suppressAutoHyphens/>
        <w:rPr>
          <w:rFonts w:eastAsia="MS Gothic"/>
        </w:rPr>
      </w:pPr>
    </w:p>
    <w:p w14:paraId="18B06F7E" w14:textId="6A0BF678" w:rsidR="003101F6" w:rsidRPr="00A80EDE" w:rsidRDefault="003101F6" w:rsidP="00A80EDE">
      <w:pPr>
        <w:suppressAutoHyphens/>
        <w:rPr>
          <w:rFonts w:eastAsia="MS Gothic"/>
        </w:rPr>
      </w:pPr>
    </w:p>
    <w:p w14:paraId="43B1FA88" w14:textId="7416E69F" w:rsidR="00CB4F79" w:rsidRPr="00A80EDE" w:rsidRDefault="00D91754" w:rsidP="00A80EDE">
      <w:pPr>
        <w:suppressAutoHyphens/>
      </w:pPr>
      <w:r w:rsidRPr="00A80EDE">
        <w:rPr>
          <w:rFonts w:eastAsia="MS Gothic"/>
          <w:noProof/>
        </w:rPr>
        <mc:AlternateContent>
          <mc:Choice Requires="wps">
            <w:drawing>
              <wp:anchor distT="45720" distB="45720" distL="114300" distR="114300" simplePos="0" relativeHeight="251662345" behindDoc="0" locked="0" layoutInCell="1" allowOverlap="1" wp14:anchorId="7ADE3FC8" wp14:editId="52EDF4E5">
                <wp:simplePos x="0" y="0"/>
                <wp:positionH relativeFrom="column">
                  <wp:posOffset>3237865</wp:posOffset>
                </wp:positionH>
                <wp:positionV relativeFrom="paragraph">
                  <wp:posOffset>36830</wp:posOffset>
                </wp:positionV>
                <wp:extent cx="752475" cy="1404620"/>
                <wp:effectExtent l="0" t="0" r="952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74D8B93C" w14:textId="1A566451" w:rsidR="00E704B9" w:rsidRPr="00A80EDE" w:rsidRDefault="00E704B9">
                            <w:r w:rsidRPr="00A80EDE">
                              <w:rPr>
                                <w:noProof/>
                              </w:rPr>
                              <w:drawing>
                                <wp:inline distT="0" distB="0" distL="0" distR="0" wp14:anchorId="42C34EA3" wp14:editId="59AC9CFA">
                                  <wp:extent cx="553542" cy="561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3"/>
                                          <a:stretch>
                                            <a:fillRect/>
                                          </a:stretch>
                                        </pic:blipFill>
                                        <pic:spPr>
                                          <a:xfrm>
                                            <a:off x="0" y="0"/>
                                            <a:ext cx="578832" cy="5866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DE3FC8" id="_x0000_t202" coordsize="21600,21600" o:spt="202" path="m,l,21600r21600,l21600,xe">
                <v:stroke joinstyle="miter"/>
                <v:path gradientshapeok="t" o:connecttype="rect"/>
              </v:shapetype>
              <v:shape id="Text Box 2" o:spid="_x0000_s1027" type="#_x0000_t202" style="position:absolute;left:0;text-align:left;margin-left:254.95pt;margin-top:2.9pt;width:59.25pt;height:110.6pt;z-index:2516623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hrEAIAAP0DAAAOAAAAZHJzL2Uyb0RvYy54bWysk99u2yAUxu8n7R0Q94udKGlaK07Vpcs0&#10;qfsjdXsAjHGMhjnsQGJ3T78DdtOou5vmCwQ+8HHO73xsbofOsJNCr8GWfD7LOVNWQq3toeQ/vu/f&#10;XXP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" stroked="f">
                <v:textbox style="mso-fit-shape-to-text:t">
                  <w:txbxContent>
                    <w:p w14:paraId="74D8B93C" w14:textId="1A566451" w:rsidR="00E704B9" w:rsidRPr="00A80EDE" w:rsidRDefault="00E704B9">
                      <w:r w:rsidRPr="00A80EDE">
                        <w:drawing>
                          <wp:inline distT="0" distB="0" distL="0" distR="0" wp14:anchorId="42C34EA3" wp14:editId="59AC9CFA">
                            <wp:extent cx="553542" cy="561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4"/>
                                    <a:stretch>
                                      <a:fillRect/>
                                    </a:stretch>
                                  </pic:blipFill>
                                  <pic:spPr>
                                    <a:xfrm>
                                      <a:off x="0" y="0"/>
                                      <a:ext cx="578832" cy="586654"/>
                                    </a:xfrm>
                                    <a:prstGeom prst="rect">
                                      <a:avLst/>
                                    </a:prstGeom>
                                  </pic:spPr>
                                </pic:pic>
                              </a:graphicData>
                            </a:graphic>
                          </wp:inline>
                        </w:drawing>
                      </w:r>
                    </w:p>
                  </w:txbxContent>
                </v:textbox>
                <w10:wrap type="square"/>
              </v:shape>
            </w:pict>
          </mc:Fallback>
        </mc:AlternateContent>
      </w:r>
      <w:r w:rsidR="00943557" w:rsidRPr="00A80EDE">
        <w:rPr>
          <w:noProof/>
          <w:sz w:val="22"/>
          <w:szCs w:val="22"/>
        </w:rPr>
        <mc:AlternateContent>
          <mc:Choice Requires="wpg">
            <w:drawing>
              <wp:anchor distT="0" distB="0" distL="114300" distR="114300" simplePos="0" relativeHeight="251660297" behindDoc="0" locked="0" layoutInCell="1" allowOverlap="1" wp14:anchorId="04353B95" wp14:editId="7A790639">
                <wp:simplePos x="0" y="0"/>
                <wp:positionH relativeFrom="column">
                  <wp:posOffset>638175</wp:posOffset>
                </wp:positionH>
                <wp:positionV relativeFrom="paragraph">
                  <wp:posOffset>260986</wp:posOffset>
                </wp:positionV>
                <wp:extent cx="5727700" cy="438150"/>
                <wp:effectExtent l="0" t="0" r="6350" b="0"/>
                <wp:wrapTopAndBottom/>
                <wp:docPr id="2063443242" name="Group 2063443242"/>
                <wp:cNvGraphicFramePr/>
                <a:graphic xmlns:a="http://schemas.openxmlformats.org/drawingml/2006/main">
                  <a:graphicData uri="http://schemas.microsoft.com/office/word/2010/wordprocessingGroup">
                    <wpg:wgp>
                      <wpg:cNvGrpSpPr/>
                      <wpg:grpSpPr>
                        <a:xfrm>
                          <a:off x="0" y="0"/>
                          <a:ext cx="5727700" cy="438150"/>
                          <a:chOff x="0" y="4763"/>
                          <a:chExt cx="5727700" cy="438150"/>
                        </a:xfrm>
                      </wpg:grpSpPr>
                      <pic:pic xmlns:pic="http://schemas.openxmlformats.org/drawingml/2006/picture">
                        <pic:nvPicPr>
                          <pic:cNvPr id="183774387" name="Picture 3" descr="Blue text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2863"/>
                            <a:ext cx="1915795" cy="400050"/>
                          </a:xfrm>
                          <a:prstGeom prst="rect">
                            <a:avLst/>
                          </a:prstGeom>
                          <a:noFill/>
                          <a:ln>
                            <a:noFill/>
                          </a:ln>
                        </pic:spPr>
                      </pic:pic>
                      <pic:pic xmlns:pic="http://schemas.openxmlformats.org/drawingml/2006/picture">
                        <pic:nvPicPr>
                          <pic:cNvPr id="1823268711" name="Picture 2" descr="A blue text on a black backgroun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86250" y="4763"/>
                            <a:ext cx="1441450" cy="419100"/>
                          </a:xfrm>
                          <a:prstGeom prst="rect">
                            <a:avLst/>
                          </a:prstGeom>
                          <a:noFill/>
                          <a:ln>
                            <a:noFill/>
                          </a:ln>
                        </pic:spPr>
                      </pic:pic>
                    </wpg:wgp>
                  </a:graphicData>
                </a:graphic>
                <wp14:sizeRelV relativeFrom="margin">
                  <wp14:pctHeight>0</wp14:pctHeight>
                </wp14:sizeRelV>
              </wp:anchor>
            </w:drawing>
          </mc:Choice>
          <mc:Fallback>
            <w:pict>
              <v:group w14:anchorId="43B54B9F" id="Group 2063443242" o:spid="_x0000_s1026" style="position:absolute;margin-left:50.25pt;margin-top:20.55pt;width:451pt;height:34.5pt;z-index:251660297;mso-height-relative:margin" coordorigin=",47" coordsize="5727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ue text on a black background&#10;&#10;AI-generated content may be incorrect." style="position:absolute;top:428;width:1915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">
                  <v:imagedata r:id="rId17" o:title="Blue text on a black background&#10;&#10;AI-generated content may be incorrect"/>
                </v:shape>
                <v:shape id="Picture 2" o:spid="_x0000_s1028" type="#_x0000_t75" alt="A blue text on a black background&#10;&#10;AI-generated content may be incorrect." style="position:absolute;left:42862;top:47;width:1441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">
                  <v:imagedata r:id="rId18" o:title="A blue text on a black background&#10;&#10;AI-generated content may be incorrect"/>
                </v:shape>
                <w10:wrap type="topAndBottom"/>
              </v:group>
            </w:pict>
          </mc:Fallback>
        </mc:AlternateContent>
      </w:r>
      <w:r w:rsidR="00AC477B" w:rsidRPr="00A80EDE">
        <w:rPr>
          <w:noProof/>
        </w:rPr>
        <w:drawing>
          <wp:anchor distT="0" distB="0" distL="114300" distR="114300" simplePos="0" relativeHeight="251658241" behindDoc="0" locked="0" layoutInCell="1" allowOverlap="1" wp14:anchorId="0A3F2ABB" wp14:editId="739BA354">
            <wp:simplePos x="0" y="0"/>
            <wp:positionH relativeFrom="column">
              <wp:posOffset>-914400</wp:posOffset>
            </wp:positionH>
            <wp:positionV relativeFrom="page">
              <wp:posOffset>-1057275</wp:posOffset>
            </wp:positionV>
            <wp:extent cx="1932940" cy="561975"/>
            <wp:effectExtent l="0" t="0" r="0" b="9525"/>
            <wp:wrapTopAndBottom/>
            <wp:docPr id="936731393"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294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5115E" w14:textId="77777777" w:rsidR="00CB4F79" w:rsidRPr="00A80EDE" w:rsidRDefault="00CB4F79" w:rsidP="00A80EDE">
      <w:pPr>
        <w:suppressAutoHyphens/>
      </w:pPr>
    </w:p>
    <w:p w14:paraId="77D81471" w14:textId="77777777" w:rsidR="00CB4F79" w:rsidRPr="00A80EDE" w:rsidRDefault="00CB4F79" w:rsidP="00A80EDE">
      <w:pPr>
        <w:suppressAutoHyphens/>
      </w:pPr>
    </w:p>
    <w:p w14:paraId="37953653" w14:textId="77777777" w:rsidR="00CB4F79" w:rsidRPr="00A80EDE" w:rsidRDefault="00CB4F79" w:rsidP="00A80EDE">
      <w:pPr>
        <w:suppressAutoHyphens/>
      </w:pPr>
    </w:p>
    <w:p w14:paraId="7251F0FB" w14:textId="77777777" w:rsidR="00CB4F79" w:rsidRPr="00A80EDE" w:rsidRDefault="00CB4F79" w:rsidP="00A80EDE">
      <w:pPr>
        <w:suppressAutoHyphens/>
      </w:pPr>
    </w:p>
    <w:p w14:paraId="4C96BD6D" w14:textId="77777777" w:rsidR="00CB4F79" w:rsidRPr="00A80EDE" w:rsidRDefault="00CB4F79" w:rsidP="00A80EDE">
      <w:pPr>
        <w:suppressAutoHyphens/>
      </w:pPr>
    </w:p>
    <w:p w14:paraId="4DEDDC55" w14:textId="77777777" w:rsidR="00CB4F79" w:rsidRPr="00A80EDE" w:rsidRDefault="00CB4F79" w:rsidP="00A80EDE">
      <w:pPr>
        <w:suppressAutoHyphens/>
      </w:pPr>
    </w:p>
    <w:p w14:paraId="392A8BA3" w14:textId="77777777" w:rsidR="00CB4F79" w:rsidRPr="00A80EDE" w:rsidRDefault="00CB4F79" w:rsidP="00A80EDE">
      <w:pPr>
        <w:suppressAutoHyphens/>
      </w:pPr>
    </w:p>
    <w:p w14:paraId="303BAF21" w14:textId="77777777" w:rsidR="00CB4F79" w:rsidRPr="00A80EDE" w:rsidRDefault="00CB4F79" w:rsidP="00A80EDE">
      <w:pPr>
        <w:suppressAutoHyphens/>
      </w:pPr>
    </w:p>
    <w:p w14:paraId="7CBA4054" w14:textId="77777777" w:rsidR="00CB4F79" w:rsidRPr="00A80EDE" w:rsidRDefault="00CB4F79" w:rsidP="00A80EDE">
      <w:pPr>
        <w:pStyle w:val="BulletedOffer"/>
        <w:suppressAutoHyphens/>
        <w:rPr>
          <w:noProof w:val="0"/>
        </w:rPr>
      </w:pPr>
    </w:p>
    <w:p w14:paraId="1042D154" w14:textId="77777777" w:rsidR="00F06C74" w:rsidRPr="00A80EDE" w:rsidRDefault="00B535BA" w:rsidP="00A80EDE">
      <w:pPr>
        <w:pStyle w:val="BulletedOffer"/>
        <w:suppressAutoHyphens/>
        <w:rPr>
          <w:noProof w:val="0"/>
        </w:rPr>
      </w:pPr>
      <w:r w:rsidRPr="00A80EDE">
        <w:drawing>
          <wp:anchor distT="0" distB="0" distL="114300" distR="114300" simplePos="0" relativeHeight="251658243" behindDoc="0" locked="0" layoutInCell="1" allowOverlap="1" wp14:anchorId="089015F7" wp14:editId="1AA76386">
            <wp:simplePos x="0" y="0"/>
            <wp:positionH relativeFrom="column">
              <wp:posOffset>5015865</wp:posOffset>
            </wp:positionH>
            <wp:positionV relativeFrom="paragraph">
              <wp:posOffset>2824480</wp:posOffset>
            </wp:positionV>
            <wp:extent cx="1233805" cy="463550"/>
            <wp:effectExtent l="0" t="0" r="4445" b="0"/>
            <wp:wrapNone/>
            <wp:docPr id="79118706" name="Picture 1"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blue logo&#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23619" t="40193" r="23618" b="40678"/>
                    <a:stretch/>
                  </pic:blipFill>
                  <pic:spPr bwMode="auto">
                    <a:xfrm>
                      <a:off x="0" y="0"/>
                      <a:ext cx="1233805" cy="46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EDE">
        <w:drawing>
          <wp:anchor distT="0" distB="0" distL="114300" distR="114300" simplePos="0" relativeHeight="251658247" behindDoc="0" locked="0" layoutInCell="1" allowOverlap="1" wp14:anchorId="22A1C766" wp14:editId="336B64FA">
            <wp:simplePos x="0" y="0"/>
            <wp:positionH relativeFrom="column">
              <wp:posOffset>3385820</wp:posOffset>
            </wp:positionH>
            <wp:positionV relativeFrom="paragraph">
              <wp:posOffset>2639060</wp:posOffset>
            </wp:positionV>
            <wp:extent cx="1548130" cy="870585"/>
            <wp:effectExtent l="0" t="0" r="0" b="0"/>
            <wp:wrapNone/>
            <wp:docPr id="1709829023" name="Picture 17098290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13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C74" w:rsidRPr="00A80EDE">
        <w:rPr>
          <w:noProof w:val="0"/>
        </w:rPr>
        <w:br w:type="page"/>
      </w:r>
    </w:p>
    <w:p w14:paraId="66330E30" w14:textId="77777777" w:rsidR="00A420EC" w:rsidRPr="00A80EDE" w:rsidRDefault="0091600E" w:rsidP="00A80EDE">
      <w:pPr>
        <w:suppressAutoHyphens/>
        <w:rPr>
          <w:rFonts w:eastAsia="SimSun"/>
          <w:lang w:eastAsia="ja-JP"/>
        </w:rPr>
      </w:pPr>
      <w:bookmarkStart w:id="3" w:name="_Hlk172529095"/>
      <w:bookmarkStart w:id="4" w:name="_Toc105433424"/>
      <w:bookmarkEnd w:id="0"/>
      <w:bookmarkEnd w:id="1"/>
      <w:bookmarkEnd w:id="3"/>
      <w:r w:rsidRPr="00A80EDE">
        <w:rPr>
          <w:rFonts w:eastAsia="SimSun"/>
          <w:lang w:eastAsia="ja-JP"/>
        </w:rPr>
        <w:lastRenderedPageBreak/>
        <w:t>AUTHORS:</w:t>
      </w:r>
    </w:p>
    <w:p w14:paraId="4FB43CA0" w14:textId="77777777" w:rsidR="00A420EC" w:rsidRPr="00A80EDE" w:rsidRDefault="0091600E" w:rsidP="00A80EDE">
      <w:pPr>
        <w:suppressAutoHyphens/>
        <w:rPr>
          <w:rFonts w:eastAsia="SimSun"/>
          <w:lang w:eastAsia="ja-JP"/>
        </w:rPr>
      </w:pPr>
      <w:bookmarkStart w:id="5" w:name="_Hlk193875722"/>
      <w:r w:rsidRPr="00A80EDE">
        <w:rPr>
          <w:rFonts w:eastAsia="SimSun"/>
          <w:lang w:eastAsia="ja-JP"/>
        </w:rPr>
        <w:t>Liliana Lucaciu</w:t>
      </w:r>
      <w:r w:rsidRPr="00A80EDE">
        <w:rPr>
          <w:rFonts w:eastAsia="SimSun"/>
          <w:lang w:eastAsia="ja-JP"/>
        </w:rPr>
        <w:tab/>
      </w:r>
      <w:r w:rsidRPr="00A80EDE">
        <w:rPr>
          <w:rFonts w:eastAsia="SimSun"/>
          <w:lang w:eastAsia="ja-JP"/>
        </w:rPr>
        <w:tab/>
        <w:t>Program Evaluation Expert</w:t>
      </w:r>
    </w:p>
    <w:p w14:paraId="5086A343" w14:textId="77777777" w:rsidR="00A420EC" w:rsidRPr="00A80EDE" w:rsidRDefault="0091600E" w:rsidP="00A80EDE">
      <w:pPr>
        <w:suppressAutoHyphens/>
        <w:rPr>
          <w:rFonts w:eastAsia="SimSun"/>
          <w:lang w:eastAsia="ja-JP"/>
        </w:rPr>
      </w:pPr>
      <w:r w:rsidRPr="00A80EDE">
        <w:rPr>
          <w:rFonts w:eastAsia="SimSun"/>
          <w:lang w:eastAsia="ja-JP"/>
        </w:rPr>
        <w:t>Andreea Savin</w:t>
      </w:r>
      <w:r w:rsidRPr="00A80EDE">
        <w:rPr>
          <w:rFonts w:eastAsia="SimSun"/>
          <w:lang w:eastAsia="ja-JP"/>
        </w:rPr>
        <w:tab/>
      </w:r>
      <w:r w:rsidRPr="00A80EDE">
        <w:rPr>
          <w:rFonts w:eastAsia="SimSun"/>
          <w:lang w:eastAsia="ja-JP"/>
        </w:rPr>
        <w:tab/>
        <w:t xml:space="preserve">Program Evaluation Expert </w:t>
      </w:r>
    </w:p>
    <w:tbl>
      <w:tblPr>
        <w:tblW w:w="10031" w:type="dxa"/>
        <w:tblInd w:w="-142" w:type="dxa"/>
        <w:tblLayout w:type="fixed"/>
        <w:tblLook w:val="0000" w:firstRow="0" w:lastRow="0" w:firstColumn="0" w:lastColumn="0" w:noHBand="0" w:noVBand="0"/>
      </w:tblPr>
      <w:tblGrid>
        <w:gridCol w:w="10031"/>
      </w:tblGrid>
      <w:tr w:rsidR="00A420EC" w:rsidRPr="00A80EDE" w14:paraId="4E9E4C96" w14:textId="77777777" w:rsidTr="001448DA">
        <w:tc>
          <w:tcPr>
            <w:tcW w:w="10031" w:type="dxa"/>
          </w:tcPr>
          <w:bookmarkEnd w:id="5"/>
          <w:p w14:paraId="583212B6" w14:textId="77777777" w:rsidR="00A420EC" w:rsidRPr="00A80EDE" w:rsidRDefault="0091600E" w:rsidP="00A80EDE">
            <w:pPr>
              <w:suppressAutoHyphens/>
              <w:rPr>
                <w:rFonts w:eastAsia="SimSun"/>
                <w:lang w:eastAsia="ja-JP"/>
              </w:rPr>
            </w:pPr>
            <w:r w:rsidRPr="00A80EDE">
              <w:rPr>
                <w:rFonts w:eastAsia="SimSun"/>
                <w:lang w:eastAsia="ja-JP"/>
              </w:rPr>
              <w:t xml:space="preserve">Contact person (on behalf of the association):         </w:t>
            </w:r>
          </w:p>
          <w:p w14:paraId="1404B400" w14:textId="77777777" w:rsidR="00A420EC" w:rsidRPr="00A80EDE" w:rsidRDefault="0091600E" w:rsidP="00A80EDE">
            <w:pPr>
              <w:suppressAutoHyphens/>
              <w:rPr>
                <w:rFonts w:eastAsia="SimSun"/>
                <w:lang w:eastAsia="ja-JP"/>
              </w:rPr>
            </w:pPr>
            <w:r w:rsidRPr="00A80EDE">
              <w:rPr>
                <w:rFonts w:eastAsia="SimSun"/>
                <w:lang w:eastAsia="ja-JP"/>
              </w:rPr>
              <w:t>Project Director: Alina David</w:t>
            </w:r>
          </w:p>
          <w:p w14:paraId="137A1C59" w14:textId="77777777" w:rsidR="00A420EC" w:rsidRPr="00A80EDE" w:rsidRDefault="00A420EC" w:rsidP="00A80EDE">
            <w:pPr>
              <w:suppressAutoHyphens/>
              <w:rPr>
                <w:rFonts w:eastAsia="SimSun"/>
                <w:lang w:eastAsia="ja-JP"/>
              </w:rPr>
            </w:pPr>
          </w:p>
        </w:tc>
      </w:tr>
    </w:tbl>
    <w:p w14:paraId="29ECF08F" w14:textId="77777777" w:rsidR="00A420EC" w:rsidRPr="00A80EDE" w:rsidRDefault="0091600E" w:rsidP="00A80EDE">
      <w:pPr>
        <w:suppressAutoHyphens/>
        <w:rPr>
          <w:rFonts w:eastAsia="SimSun"/>
          <w:lang w:eastAsia="ja-JP"/>
        </w:rPr>
      </w:pPr>
      <w:r w:rsidRPr="00A80EDE">
        <w:rPr>
          <w:rFonts w:eastAsia="SimSun"/>
          <w:lang w:eastAsia="ja-JP"/>
        </w:rPr>
        <w:t>Versions:</w:t>
      </w:r>
    </w:p>
    <w:tbl>
      <w:tblPr>
        <w:tblStyle w:val="Tabelgril"/>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4505"/>
        <w:gridCol w:w="4511"/>
      </w:tblGrid>
      <w:tr w:rsidR="00A420EC" w:rsidRPr="00A80EDE" w14:paraId="5F8445DF" w14:textId="77777777" w:rsidTr="0020030B">
        <w:tc>
          <w:tcPr>
            <w:tcW w:w="4505" w:type="dxa"/>
          </w:tcPr>
          <w:p w14:paraId="01D55E2B" w14:textId="77777777" w:rsidR="00A420EC" w:rsidRPr="00A80EDE" w:rsidRDefault="0091600E" w:rsidP="00A80EDE">
            <w:pPr>
              <w:suppressAutoHyphens/>
            </w:pPr>
            <w:r w:rsidRPr="00A80EDE">
              <w:t>Version 1</w:t>
            </w:r>
          </w:p>
        </w:tc>
        <w:tc>
          <w:tcPr>
            <w:tcW w:w="4511" w:type="dxa"/>
          </w:tcPr>
          <w:p w14:paraId="718A3E48" w14:textId="77777777" w:rsidR="00A420EC" w:rsidRPr="00A80EDE" w:rsidRDefault="0091600E" w:rsidP="00A80EDE">
            <w:pPr>
              <w:suppressAutoHyphens/>
            </w:pPr>
            <w:r w:rsidRPr="00A80EDE">
              <w:t>24.11.2025</w:t>
            </w:r>
          </w:p>
        </w:tc>
      </w:tr>
      <w:tr w:rsidR="00A420EC" w:rsidRPr="00A80EDE" w14:paraId="0F13CD72" w14:textId="77777777" w:rsidTr="0020030B">
        <w:tc>
          <w:tcPr>
            <w:tcW w:w="4505" w:type="dxa"/>
          </w:tcPr>
          <w:p w14:paraId="70795433" w14:textId="77777777" w:rsidR="00A420EC" w:rsidRPr="00A80EDE" w:rsidRDefault="0091600E" w:rsidP="00A80EDE">
            <w:pPr>
              <w:suppressAutoHyphens/>
            </w:pPr>
            <w:r w:rsidRPr="00A80EDE">
              <w:t>Revised version 1</w:t>
            </w:r>
          </w:p>
        </w:tc>
        <w:tc>
          <w:tcPr>
            <w:tcW w:w="4511" w:type="dxa"/>
          </w:tcPr>
          <w:p w14:paraId="79A020B6" w14:textId="6A1EEFA4" w:rsidR="00A420EC" w:rsidRPr="00A80EDE" w:rsidRDefault="001448DA" w:rsidP="00A80EDE">
            <w:pPr>
              <w:suppressAutoHyphens/>
            </w:pPr>
            <w:r w:rsidRPr="00A80EDE">
              <w:t>02.12.2025</w:t>
            </w:r>
          </w:p>
        </w:tc>
      </w:tr>
      <w:tr w:rsidR="00A420EC" w:rsidRPr="00A80EDE" w14:paraId="026531C7" w14:textId="77777777" w:rsidTr="0020030B">
        <w:tc>
          <w:tcPr>
            <w:tcW w:w="4505" w:type="dxa"/>
          </w:tcPr>
          <w:p w14:paraId="05BD547A" w14:textId="77777777" w:rsidR="00A420EC" w:rsidRPr="00A80EDE" w:rsidRDefault="0091600E" w:rsidP="00A80EDE">
            <w:pPr>
              <w:suppressAutoHyphens/>
            </w:pPr>
            <w:r w:rsidRPr="00A80EDE">
              <w:t xml:space="preserve">Final version </w:t>
            </w:r>
          </w:p>
        </w:tc>
        <w:tc>
          <w:tcPr>
            <w:tcW w:w="4511" w:type="dxa"/>
          </w:tcPr>
          <w:p w14:paraId="4B5E796D" w14:textId="55C96492" w:rsidR="00A420EC" w:rsidRPr="00A80EDE" w:rsidRDefault="004F66EB" w:rsidP="00A80EDE">
            <w:pPr>
              <w:suppressAutoHyphens/>
            </w:pPr>
            <w:r w:rsidRPr="00A80EDE">
              <w:t>09.12.2025</w:t>
            </w:r>
          </w:p>
        </w:tc>
      </w:tr>
    </w:tbl>
    <w:p w14:paraId="79FE4CE1" w14:textId="0864FA59" w:rsidR="00A420EC" w:rsidRPr="00A80EDE" w:rsidRDefault="008F15B1" w:rsidP="00A80EDE">
      <w:pPr>
        <w:suppressAutoHyphens/>
      </w:pPr>
      <w:r w:rsidRPr="00A80EDE">
        <w:rPr>
          <w:rFonts w:eastAsia="SimSun"/>
          <w:lang w:eastAsia="ja-JP"/>
        </w:rPr>
        <w:br w:type="page"/>
      </w:r>
    </w:p>
    <w:p w14:paraId="2BD85631" w14:textId="77777777" w:rsidR="00A420EC" w:rsidRPr="00A80EDE" w:rsidRDefault="0091600E" w:rsidP="00A80EDE">
      <w:pPr>
        <w:suppressAutoHyphens/>
      </w:pPr>
      <w:r w:rsidRPr="00A80EDE">
        <w:lastRenderedPageBreak/>
        <w:t>TABLE OF CONTENTS</w:t>
      </w:r>
    </w:p>
    <w:bookmarkEnd w:id="4"/>
    <w:p w14:paraId="6BA2E8F0" w14:textId="75078D36" w:rsidR="007455AA" w:rsidRPr="00A80EDE" w:rsidRDefault="00420280"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r w:rsidRPr="00A80EDE">
        <w:rPr>
          <w:noProof w:val="0"/>
          <w:sz w:val="18"/>
          <w:szCs w:val="18"/>
        </w:rPr>
        <w:fldChar w:fldCharType="begin"/>
      </w:r>
      <w:r w:rsidRPr="00A80EDE">
        <w:rPr>
          <w:noProof w:val="0"/>
          <w:sz w:val="18"/>
          <w:szCs w:val="18"/>
        </w:rPr>
        <w:instrText xml:space="preserve"> TOC \o "1-3" \h \z \u </w:instrText>
      </w:r>
      <w:r w:rsidRPr="00A80EDE">
        <w:rPr>
          <w:noProof w:val="0"/>
          <w:sz w:val="18"/>
          <w:szCs w:val="18"/>
        </w:rPr>
        <w:fldChar w:fldCharType="separate"/>
      </w:r>
      <w:hyperlink w:anchor="_Toc216119105" w:history="1">
        <w:r w:rsidR="007455AA" w:rsidRPr="00A80EDE">
          <w:rPr>
            <w:rStyle w:val="Hyperlink"/>
            <w:noProof w:val="0"/>
          </w:rPr>
          <w:t>Executive summary</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_Toc216119105 \h </w:instrText>
        </w:r>
        <w:r w:rsidR="007455AA" w:rsidRPr="00A80EDE">
          <w:rPr>
            <w:noProof w:val="0"/>
            <w:webHidden/>
          </w:rPr>
        </w:r>
        <w:r w:rsidR="007455AA" w:rsidRPr="00A80EDE">
          <w:rPr>
            <w:noProof w:val="0"/>
            <w:webHidden/>
          </w:rPr>
          <w:fldChar w:fldCharType="separate"/>
        </w:r>
        <w:r w:rsidR="00BA3B66" w:rsidRPr="00A80EDE">
          <w:rPr>
            <w:noProof w:val="0"/>
            <w:webHidden/>
          </w:rPr>
          <w:t>5</w:t>
        </w:r>
        <w:r w:rsidR="007455AA" w:rsidRPr="00A80EDE">
          <w:rPr>
            <w:noProof w:val="0"/>
            <w:webHidden/>
          </w:rPr>
          <w:fldChar w:fldCharType="end"/>
        </w:r>
      </w:hyperlink>
    </w:p>
    <w:p w14:paraId="63CF22B1" w14:textId="3B40C5BB" w:rsidR="007455AA" w:rsidRPr="00A80EDE" w:rsidRDefault="007455AA"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hyperlink w:anchor="_Toc216119106" w:history="1">
        <w:r w:rsidRPr="00A80EDE">
          <w:rPr>
            <w:rStyle w:val="Hyperlink"/>
            <w:noProof w:val="0"/>
          </w:rPr>
          <w:t>Preamble</w:t>
        </w:r>
        <w:r w:rsidRPr="00A80EDE">
          <w:rPr>
            <w:noProof w:val="0"/>
            <w:webHidden/>
          </w:rPr>
          <w:tab/>
        </w:r>
        <w:r w:rsidRPr="00A80EDE">
          <w:rPr>
            <w:noProof w:val="0"/>
            <w:webHidden/>
          </w:rPr>
          <w:fldChar w:fldCharType="begin"/>
        </w:r>
        <w:r w:rsidRPr="00A80EDE">
          <w:rPr>
            <w:noProof w:val="0"/>
            <w:webHidden/>
          </w:rPr>
          <w:instrText xml:space="preserve"> PAGEREF _Toc216119106 \h </w:instrText>
        </w:r>
        <w:r w:rsidRPr="00A80EDE">
          <w:rPr>
            <w:noProof w:val="0"/>
            <w:webHidden/>
          </w:rPr>
        </w:r>
        <w:r w:rsidRPr="00A80EDE">
          <w:rPr>
            <w:noProof w:val="0"/>
            <w:webHidden/>
          </w:rPr>
          <w:fldChar w:fldCharType="separate"/>
        </w:r>
        <w:r w:rsidR="00BA3B66" w:rsidRPr="00A80EDE">
          <w:rPr>
            <w:noProof w:val="0"/>
            <w:webHidden/>
          </w:rPr>
          <w:t>8</w:t>
        </w:r>
        <w:r w:rsidRPr="00A80EDE">
          <w:rPr>
            <w:noProof w:val="0"/>
            <w:webHidden/>
          </w:rPr>
          <w:fldChar w:fldCharType="end"/>
        </w:r>
      </w:hyperlink>
    </w:p>
    <w:p w14:paraId="1C72C289" w14:textId="5B0D5D40" w:rsidR="007455AA" w:rsidRPr="00A80EDE" w:rsidRDefault="007455AA"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hyperlink w:anchor="_Toc216119107" w:history="1">
        <w:r w:rsidRPr="00A80EDE">
          <w:rPr>
            <w:rStyle w:val="Hyperlink"/>
            <w:noProof w:val="0"/>
          </w:rPr>
          <w:t>General context of the evaluation</w:t>
        </w:r>
        <w:r w:rsidRPr="00A80EDE">
          <w:rPr>
            <w:noProof w:val="0"/>
            <w:webHidden/>
          </w:rPr>
          <w:tab/>
        </w:r>
        <w:r w:rsidRPr="00A80EDE">
          <w:rPr>
            <w:noProof w:val="0"/>
            <w:webHidden/>
          </w:rPr>
          <w:fldChar w:fldCharType="begin"/>
        </w:r>
        <w:r w:rsidRPr="00A80EDE">
          <w:rPr>
            <w:noProof w:val="0"/>
            <w:webHidden/>
          </w:rPr>
          <w:instrText xml:space="preserve"> PAGEREF _Toc216119107 \h </w:instrText>
        </w:r>
        <w:r w:rsidRPr="00A80EDE">
          <w:rPr>
            <w:noProof w:val="0"/>
            <w:webHidden/>
          </w:rPr>
        </w:r>
        <w:r w:rsidRPr="00A80EDE">
          <w:rPr>
            <w:noProof w:val="0"/>
            <w:webHidden/>
          </w:rPr>
          <w:fldChar w:fldCharType="separate"/>
        </w:r>
        <w:r w:rsidR="00BA3B66" w:rsidRPr="00A80EDE">
          <w:rPr>
            <w:noProof w:val="0"/>
            <w:webHidden/>
          </w:rPr>
          <w:t>11</w:t>
        </w:r>
        <w:r w:rsidRPr="00A80EDE">
          <w:rPr>
            <w:noProof w:val="0"/>
            <w:webHidden/>
          </w:rPr>
          <w:fldChar w:fldCharType="end"/>
        </w:r>
      </w:hyperlink>
    </w:p>
    <w:p w14:paraId="799DBA43" w14:textId="051036F0" w:rsidR="007455AA" w:rsidRPr="00A80EDE" w:rsidRDefault="007455AA"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hyperlink w:anchor="_Toc216119108" w:history="1">
        <w:r w:rsidRPr="00A80EDE">
          <w:rPr>
            <w:rStyle w:val="Hyperlink"/>
            <w:noProof w:val="0"/>
          </w:rPr>
          <w:t>Methodology applied</w:t>
        </w:r>
        <w:r w:rsidRPr="00A80EDE">
          <w:rPr>
            <w:noProof w:val="0"/>
            <w:webHidden/>
          </w:rPr>
          <w:tab/>
        </w:r>
        <w:r w:rsidRPr="00A80EDE">
          <w:rPr>
            <w:noProof w:val="0"/>
            <w:webHidden/>
          </w:rPr>
          <w:fldChar w:fldCharType="begin"/>
        </w:r>
        <w:r w:rsidRPr="00A80EDE">
          <w:rPr>
            <w:noProof w:val="0"/>
            <w:webHidden/>
          </w:rPr>
          <w:instrText xml:space="preserve"> PAGEREF _Toc216119108 \h </w:instrText>
        </w:r>
        <w:r w:rsidRPr="00A80EDE">
          <w:rPr>
            <w:noProof w:val="0"/>
            <w:webHidden/>
          </w:rPr>
        </w:r>
        <w:r w:rsidRPr="00A80EDE">
          <w:rPr>
            <w:noProof w:val="0"/>
            <w:webHidden/>
          </w:rPr>
          <w:fldChar w:fldCharType="separate"/>
        </w:r>
        <w:r w:rsidR="00BA3B66" w:rsidRPr="00A80EDE">
          <w:rPr>
            <w:noProof w:val="0"/>
            <w:webHidden/>
          </w:rPr>
          <w:t>14</w:t>
        </w:r>
        <w:r w:rsidRPr="00A80EDE">
          <w:rPr>
            <w:noProof w:val="0"/>
            <w:webHidden/>
          </w:rPr>
          <w:fldChar w:fldCharType="end"/>
        </w:r>
      </w:hyperlink>
    </w:p>
    <w:p w14:paraId="32FF9AE5" w14:textId="6F2A24A1" w:rsidR="007455AA" w:rsidRPr="00A80EDE" w:rsidRDefault="007455AA"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09" w:history="1">
        <w:r w:rsidRPr="00A80EDE">
          <w:rPr>
            <w:rStyle w:val="Hyperlink"/>
            <w:noProof w:val="0"/>
          </w:rPr>
          <w:t>Challenges, methodological limitations and applied solutions</w:t>
        </w:r>
        <w:r w:rsidRPr="00A80EDE">
          <w:rPr>
            <w:noProof w:val="0"/>
            <w:webHidden/>
          </w:rPr>
          <w:tab/>
        </w:r>
        <w:r w:rsidRPr="00A80EDE">
          <w:rPr>
            <w:noProof w:val="0"/>
            <w:webHidden/>
          </w:rPr>
          <w:fldChar w:fldCharType="begin"/>
        </w:r>
        <w:r w:rsidRPr="00A80EDE">
          <w:rPr>
            <w:noProof w:val="0"/>
            <w:webHidden/>
          </w:rPr>
          <w:instrText xml:space="preserve"> PAGEREF _Toc216119109 \h </w:instrText>
        </w:r>
        <w:r w:rsidRPr="00A80EDE">
          <w:rPr>
            <w:noProof w:val="0"/>
            <w:webHidden/>
          </w:rPr>
        </w:r>
        <w:r w:rsidRPr="00A80EDE">
          <w:rPr>
            <w:noProof w:val="0"/>
            <w:webHidden/>
          </w:rPr>
          <w:fldChar w:fldCharType="separate"/>
        </w:r>
        <w:r w:rsidR="00BA3B66" w:rsidRPr="00A80EDE">
          <w:rPr>
            <w:noProof w:val="0"/>
            <w:webHidden/>
          </w:rPr>
          <w:t>15</w:t>
        </w:r>
        <w:r w:rsidRPr="00A80EDE">
          <w:rPr>
            <w:noProof w:val="0"/>
            <w:webHidden/>
          </w:rPr>
          <w:fldChar w:fldCharType="end"/>
        </w:r>
      </w:hyperlink>
    </w:p>
    <w:p w14:paraId="12E61517" w14:textId="36E3CBF4" w:rsidR="007455AA" w:rsidRPr="00A80EDE" w:rsidRDefault="007455AA"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hyperlink w:anchor="_Toc216119110" w:history="1">
        <w:r w:rsidRPr="00A80EDE">
          <w:rPr>
            <w:rStyle w:val="Hyperlink"/>
            <w:noProof w:val="0"/>
          </w:rPr>
          <w:t>Summary of evaluation findings</w:t>
        </w:r>
        <w:r w:rsidRPr="00A80EDE">
          <w:rPr>
            <w:noProof w:val="0"/>
            <w:webHidden/>
          </w:rPr>
          <w:tab/>
        </w:r>
        <w:r w:rsidRPr="00A80EDE">
          <w:rPr>
            <w:noProof w:val="0"/>
            <w:webHidden/>
          </w:rPr>
          <w:fldChar w:fldCharType="begin"/>
        </w:r>
        <w:r w:rsidRPr="00A80EDE">
          <w:rPr>
            <w:noProof w:val="0"/>
            <w:webHidden/>
          </w:rPr>
          <w:instrText xml:space="preserve"> PAGEREF _Toc216119110 \h </w:instrText>
        </w:r>
        <w:r w:rsidRPr="00A80EDE">
          <w:rPr>
            <w:noProof w:val="0"/>
            <w:webHidden/>
          </w:rPr>
        </w:r>
        <w:r w:rsidRPr="00A80EDE">
          <w:rPr>
            <w:noProof w:val="0"/>
            <w:webHidden/>
          </w:rPr>
          <w:fldChar w:fldCharType="separate"/>
        </w:r>
        <w:r w:rsidR="00BA3B66" w:rsidRPr="00A80EDE">
          <w:rPr>
            <w:noProof w:val="0"/>
            <w:webHidden/>
          </w:rPr>
          <w:t>17</w:t>
        </w:r>
        <w:r w:rsidRPr="00A80EDE">
          <w:rPr>
            <w:noProof w:val="0"/>
            <w:webHidden/>
          </w:rPr>
          <w:fldChar w:fldCharType="end"/>
        </w:r>
      </w:hyperlink>
    </w:p>
    <w:p w14:paraId="1FC3DB4A" w14:textId="22CABA52"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1" w:history="1">
        <w:r w:rsidRPr="00A80EDE">
          <w:rPr>
            <w:rStyle w:val="Hyperlink"/>
            <w:noProof w:val="0"/>
          </w:rPr>
          <w:t>EQ 1. To what extent are the institutional and organizational responsibilities for the implementation of the PR Center clearly defined, assumed and effectively implemented?</w:t>
        </w:r>
        <w:r w:rsidRPr="00A80EDE">
          <w:rPr>
            <w:noProof w:val="0"/>
            <w:webHidden/>
          </w:rPr>
          <w:tab/>
        </w:r>
        <w:r w:rsidRPr="00A80EDE">
          <w:rPr>
            <w:noProof w:val="0"/>
            <w:webHidden/>
          </w:rPr>
          <w:fldChar w:fldCharType="begin"/>
        </w:r>
        <w:r w:rsidRPr="00A80EDE">
          <w:rPr>
            <w:noProof w:val="0"/>
            <w:webHidden/>
          </w:rPr>
          <w:instrText xml:space="preserve"> PAGEREF _Toc216119111 \h </w:instrText>
        </w:r>
        <w:r w:rsidRPr="00A80EDE">
          <w:rPr>
            <w:noProof w:val="0"/>
            <w:webHidden/>
          </w:rPr>
        </w:r>
        <w:r w:rsidRPr="00A80EDE">
          <w:rPr>
            <w:noProof w:val="0"/>
            <w:webHidden/>
          </w:rPr>
          <w:fldChar w:fldCharType="separate"/>
        </w:r>
        <w:r w:rsidRPr="00A80EDE">
          <w:rPr>
            <w:noProof w:val="0"/>
            <w:webHidden/>
          </w:rPr>
          <w:t>17</w:t>
        </w:r>
        <w:r w:rsidRPr="00A80EDE">
          <w:rPr>
            <w:noProof w:val="0"/>
            <w:webHidden/>
          </w:rPr>
          <w:fldChar w:fldCharType="end"/>
        </w:r>
      </w:hyperlink>
    </w:p>
    <w:p w14:paraId="37C067BF" w14:textId="3F3407CD"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2" w:history="1">
        <w:r w:rsidRPr="00A80EDE">
          <w:rPr>
            <w:noProof w:val="0"/>
          </w:rPr>
          <w:t xml:space="preserve"> </w:t>
        </w:r>
        <w:r w:rsidRPr="00A80EDE">
          <w:rPr>
            <w:rStyle w:val="Hyperlink"/>
            <w:noProof w:val="0"/>
          </w:rPr>
          <w:t>EQ</w:t>
        </w:r>
        <w:r w:rsidRPr="00A80EDE" w:rsidDel="00227E84">
          <w:rPr>
            <w:rStyle w:val="Hyperlink"/>
            <w:noProof w:val="0"/>
          </w:rPr>
          <w:t xml:space="preserve"> </w:t>
        </w:r>
        <w:r w:rsidR="007455AA" w:rsidRPr="00A80EDE">
          <w:rPr>
            <w:rStyle w:val="Hyperlink"/>
            <w:noProof w:val="0"/>
          </w:rPr>
          <w:t>2. What is the impact of decentralization on the regional development process and the administrative capacity (institutional, organizational and human) of the regional and local structures involved in the implementation of the PR Center?</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_Toc216119112 \h </w:instrText>
        </w:r>
        <w:r w:rsidR="007455AA" w:rsidRPr="00A80EDE">
          <w:rPr>
            <w:noProof w:val="0"/>
            <w:webHidden/>
          </w:rPr>
        </w:r>
        <w:r w:rsidR="007455AA" w:rsidRPr="00A80EDE">
          <w:rPr>
            <w:noProof w:val="0"/>
            <w:webHidden/>
          </w:rPr>
          <w:fldChar w:fldCharType="separate"/>
        </w:r>
        <w:r w:rsidR="00BA3B66" w:rsidRPr="00A80EDE">
          <w:rPr>
            <w:noProof w:val="0"/>
            <w:webHidden/>
          </w:rPr>
          <w:t>20</w:t>
        </w:r>
        <w:r w:rsidR="007455AA" w:rsidRPr="00A80EDE">
          <w:rPr>
            <w:noProof w:val="0"/>
            <w:webHidden/>
          </w:rPr>
          <w:fldChar w:fldCharType="end"/>
        </w:r>
      </w:hyperlink>
    </w:p>
    <w:p w14:paraId="6B58D743" w14:textId="4A1C2C39"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3" w:history="1">
        <w:r w:rsidRPr="00A80EDE">
          <w:rPr>
            <w:noProof w:val="0"/>
          </w:rPr>
          <w:t xml:space="preserve"> </w:t>
        </w:r>
        <w:r w:rsidRPr="00A80EDE">
          <w:rPr>
            <w:rStyle w:val="Hyperlink"/>
            <w:noProof w:val="0"/>
          </w:rPr>
          <w:t>EQ</w:t>
        </w:r>
        <w:r w:rsidRPr="00A80EDE" w:rsidDel="00227E84">
          <w:rPr>
            <w:rStyle w:val="Hyperlink"/>
            <w:noProof w:val="0"/>
          </w:rPr>
          <w:t xml:space="preserve"> </w:t>
        </w:r>
        <w:r w:rsidR="007455AA" w:rsidRPr="00A80EDE">
          <w:rPr>
            <w:rStyle w:val="Hyperlink"/>
            <w:noProof w:val="0"/>
          </w:rPr>
          <w:t>3. To what extent does the current regulatory framework contribute to strengthening the administrative capacity and facilitate the efficient implementation of the regional development policy through the PR Centre?</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_Toc216119113 \h </w:instrText>
        </w:r>
        <w:r w:rsidR="007455AA" w:rsidRPr="00A80EDE">
          <w:rPr>
            <w:noProof w:val="0"/>
            <w:webHidden/>
          </w:rPr>
        </w:r>
        <w:r w:rsidR="007455AA" w:rsidRPr="00A80EDE">
          <w:rPr>
            <w:noProof w:val="0"/>
            <w:webHidden/>
          </w:rPr>
          <w:fldChar w:fldCharType="separate"/>
        </w:r>
        <w:r w:rsidR="00BA3B66" w:rsidRPr="00A80EDE">
          <w:rPr>
            <w:noProof w:val="0"/>
            <w:webHidden/>
          </w:rPr>
          <w:t>27</w:t>
        </w:r>
        <w:r w:rsidR="007455AA" w:rsidRPr="00A80EDE">
          <w:rPr>
            <w:noProof w:val="0"/>
            <w:webHidden/>
          </w:rPr>
          <w:fldChar w:fldCharType="end"/>
        </w:r>
      </w:hyperlink>
    </w:p>
    <w:p w14:paraId="4A470D1D" w14:textId="6DAB448C"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4" w:history="1">
        <w:r w:rsidRPr="00A80EDE">
          <w:rPr>
            <w:noProof w:val="0"/>
          </w:rPr>
          <w:t xml:space="preserve"> </w:t>
        </w:r>
        <w:r w:rsidRPr="00A80EDE">
          <w:rPr>
            <w:rStyle w:val="Hyperlink"/>
            <w:noProof w:val="0"/>
          </w:rPr>
          <w:t>EQ</w:t>
        </w:r>
        <w:r w:rsidRPr="00A80EDE" w:rsidDel="00227E84">
          <w:rPr>
            <w:rStyle w:val="Hyperlink"/>
            <w:noProof w:val="0"/>
          </w:rPr>
          <w:t xml:space="preserve"> </w:t>
        </w:r>
        <w:r w:rsidR="007455AA" w:rsidRPr="00A80EDE">
          <w:rPr>
            <w:rStyle w:val="Hyperlink"/>
            <w:noProof w:val="0"/>
          </w:rPr>
          <w:t xml:space="preserve">4. How adequate is the availability of administrative resources (human, financial, logistical and material) for the efficient support of the implementation of the PR Center at the level of the </w:t>
        </w:r>
        <w:r w:rsidR="005A6DC5" w:rsidRPr="00A80EDE">
          <w:rPr>
            <w:rStyle w:val="Hyperlink"/>
            <w:noProof w:val="0"/>
          </w:rPr>
          <w:t xml:space="preserve">AM </w:t>
        </w:r>
        <w:r w:rsidR="007455AA" w:rsidRPr="00A80EDE">
          <w:rPr>
            <w:rStyle w:val="Hyperlink"/>
            <w:noProof w:val="0"/>
          </w:rPr>
          <w:t>and the beneficiaries?</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_Toc216119114 \h </w:instrText>
        </w:r>
        <w:r w:rsidR="007455AA" w:rsidRPr="00A80EDE">
          <w:rPr>
            <w:noProof w:val="0"/>
            <w:webHidden/>
          </w:rPr>
        </w:r>
        <w:r w:rsidR="007455AA" w:rsidRPr="00A80EDE">
          <w:rPr>
            <w:noProof w:val="0"/>
            <w:webHidden/>
          </w:rPr>
          <w:fldChar w:fldCharType="separate"/>
        </w:r>
        <w:r w:rsidR="00BA3B66" w:rsidRPr="00A80EDE">
          <w:rPr>
            <w:noProof w:val="0"/>
            <w:webHidden/>
          </w:rPr>
          <w:t>31</w:t>
        </w:r>
        <w:r w:rsidR="007455AA" w:rsidRPr="00A80EDE">
          <w:rPr>
            <w:noProof w:val="0"/>
            <w:webHidden/>
          </w:rPr>
          <w:fldChar w:fldCharType="end"/>
        </w:r>
      </w:hyperlink>
    </w:p>
    <w:p w14:paraId="22CF0168" w14:textId="465AFEB5"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5" w:history="1">
        <w:r w:rsidRPr="00A80EDE">
          <w:rPr>
            <w:noProof w:val="0"/>
          </w:rPr>
          <w:t xml:space="preserve"> </w:t>
        </w:r>
        <w:r w:rsidRPr="00A80EDE">
          <w:rPr>
            <w:rStyle w:val="Hyperlink"/>
            <w:noProof w:val="0"/>
          </w:rPr>
          <w:t>EQ</w:t>
        </w:r>
        <w:r w:rsidRPr="00A80EDE" w:rsidDel="00227E84">
          <w:rPr>
            <w:rStyle w:val="Hyperlink"/>
            <w:noProof w:val="0"/>
          </w:rPr>
          <w:t xml:space="preserve"> </w:t>
        </w:r>
        <w:r w:rsidR="007455AA" w:rsidRPr="00A80EDE">
          <w:rPr>
            <w:rStyle w:val="Hyperlink"/>
            <w:noProof w:val="0"/>
          </w:rPr>
          <w:t xml:space="preserve">5. To what extent do the existing operational procedures at the </w:t>
        </w:r>
        <w:r w:rsidR="005A6DC5" w:rsidRPr="00A80EDE">
          <w:rPr>
            <w:rStyle w:val="Hyperlink"/>
            <w:noProof w:val="0"/>
          </w:rPr>
          <w:t xml:space="preserve">AM </w:t>
        </w:r>
        <w:r w:rsidR="007455AA" w:rsidRPr="00A80EDE">
          <w:rPr>
            <w:rStyle w:val="Hyperlink"/>
            <w:noProof w:val="0"/>
          </w:rPr>
          <w:t>level contribute to the administrative simplification and efficiency of the implementation of the PR Center, favoring an optimal absorption of funds?</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_Toc216119115 \h </w:instrText>
        </w:r>
        <w:r w:rsidR="007455AA" w:rsidRPr="00A80EDE">
          <w:rPr>
            <w:noProof w:val="0"/>
            <w:webHidden/>
          </w:rPr>
        </w:r>
        <w:r w:rsidR="007455AA" w:rsidRPr="00A80EDE">
          <w:rPr>
            <w:noProof w:val="0"/>
            <w:webHidden/>
          </w:rPr>
          <w:fldChar w:fldCharType="separate"/>
        </w:r>
        <w:r w:rsidR="00BA3B66" w:rsidRPr="00A80EDE">
          <w:rPr>
            <w:noProof w:val="0"/>
            <w:webHidden/>
          </w:rPr>
          <w:t>36</w:t>
        </w:r>
        <w:r w:rsidR="007455AA" w:rsidRPr="00A80EDE">
          <w:rPr>
            <w:noProof w:val="0"/>
            <w:webHidden/>
          </w:rPr>
          <w:fldChar w:fldCharType="end"/>
        </w:r>
      </w:hyperlink>
    </w:p>
    <w:p w14:paraId="7A75AD86" w14:textId="38E2A684"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6" w:history="1">
        <w:r w:rsidRPr="00A80EDE">
          <w:rPr>
            <w:noProof w:val="0"/>
          </w:rPr>
          <w:t xml:space="preserve"> </w:t>
        </w:r>
        <w:r w:rsidRPr="00A80EDE">
          <w:rPr>
            <w:rStyle w:val="Hyperlink"/>
            <w:noProof w:val="0"/>
          </w:rPr>
          <w:t>EQ</w:t>
        </w:r>
        <w:r w:rsidRPr="00A80EDE" w:rsidDel="00227E84">
          <w:rPr>
            <w:rStyle w:val="Hyperlink"/>
            <w:noProof w:val="0"/>
          </w:rPr>
          <w:t xml:space="preserve"> </w:t>
        </w:r>
        <w:r w:rsidR="007455AA" w:rsidRPr="00A80EDE">
          <w:rPr>
            <w:rStyle w:val="Hyperlink"/>
            <w:noProof w:val="0"/>
          </w:rPr>
          <w:t>6. To what extent does the decentralized implementation of the PR Center contribute to institutional development, strengthening administrative capacity and increasing the skills of the regional and local actors involved?</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_Toc216119116 \h </w:instrText>
        </w:r>
        <w:r w:rsidR="007455AA" w:rsidRPr="00A80EDE">
          <w:rPr>
            <w:noProof w:val="0"/>
            <w:webHidden/>
          </w:rPr>
        </w:r>
        <w:r w:rsidR="007455AA" w:rsidRPr="00A80EDE">
          <w:rPr>
            <w:noProof w:val="0"/>
            <w:webHidden/>
          </w:rPr>
          <w:fldChar w:fldCharType="separate"/>
        </w:r>
        <w:r w:rsidR="00BA3B66" w:rsidRPr="00A80EDE">
          <w:rPr>
            <w:noProof w:val="0"/>
            <w:webHidden/>
          </w:rPr>
          <w:t>41</w:t>
        </w:r>
        <w:r w:rsidR="007455AA" w:rsidRPr="00A80EDE">
          <w:rPr>
            <w:noProof w:val="0"/>
            <w:webHidden/>
          </w:rPr>
          <w:fldChar w:fldCharType="end"/>
        </w:r>
      </w:hyperlink>
    </w:p>
    <w:p w14:paraId="0F8ED71B" w14:textId="6A1AD783" w:rsidR="007455AA" w:rsidRPr="00A80EDE" w:rsidRDefault="00227E84" w:rsidP="00A80EDE">
      <w:pPr>
        <w:pStyle w:val="Cuprins2"/>
        <w:suppressAutoHyphens/>
        <w:rPr>
          <w:rFonts w:asciiTheme="minorHAnsi" w:eastAsiaTheme="minorEastAsia" w:hAnsiTheme="minorHAnsi" w:cstheme="minorBidi"/>
          <w:i w:val="0"/>
          <w:noProof w:val="0"/>
          <w:kern w:val="2"/>
          <w:sz w:val="24"/>
          <w:szCs w:val="24"/>
          <w:lang w:eastAsia="ro-RO"/>
          <w14:ligatures w14:val="standardContextual"/>
        </w:rPr>
      </w:pPr>
      <w:hyperlink w:anchor="_Toc216119117" w:history="1">
        <w:r w:rsidRPr="00A80EDE">
          <w:rPr>
            <w:noProof w:val="0"/>
          </w:rPr>
          <w:t xml:space="preserve"> </w:t>
        </w:r>
        <w:r w:rsidRPr="00A80EDE">
          <w:rPr>
            <w:rStyle w:val="Hyperlink"/>
            <w:noProof w:val="0"/>
          </w:rPr>
          <w:t>EQ</w:t>
        </w:r>
        <w:r w:rsidRPr="00A80EDE" w:rsidDel="00227E84">
          <w:rPr>
            <w:rStyle w:val="Hyperlink"/>
            <w:noProof w:val="0"/>
          </w:rPr>
          <w:t xml:space="preserve"> </w:t>
        </w:r>
        <w:r w:rsidR="007455AA" w:rsidRPr="00A80EDE">
          <w:rPr>
            <w:rStyle w:val="Hyperlink"/>
            <w:noProof w:val="0"/>
          </w:rPr>
          <w:t>7. To what extent does the implementation system and structure of the regional programme contribute to improving the accessibility of funds for the public and private sectors, to adapting it to the needs and capacity of local actors?</w:t>
        </w:r>
        <w:r w:rsidR="007455AA" w:rsidRPr="00A80EDE">
          <w:rPr>
            <w:noProof w:val="0"/>
            <w:webHidden/>
          </w:rPr>
          <w:tab/>
        </w:r>
        <w:r w:rsidR="007455AA" w:rsidRPr="00A80EDE">
          <w:rPr>
            <w:noProof w:val="0"/>
            <w:webHidden/>
          </w:rPr>
          <w:fldChar w:fldCharType="begin"/>
        </w:r>
        <w:r w:rsidR="007455AA" w:rsidRPr="00A80EDE">
          <w:rPr>
            <w:noProof w:val="0"/>
            <w:webHidden/>
          </w:rPr>
          <w:instrText xml:space="preserve"> PAGEREF _Toc216119117 \h </w:instrText>
        </w:r>
        <w:r w:rsidR="007455AA" w:rsidRPr="00A80EDE">
          <w:rPr>
            <w:noProof w:val="0"/>
            <w:webHidden/>
          </w:rPr>
        </w:r>
        <w:r w:rsidR="007455AA" w:rsidRPr="00A80EDE">
          <w:rPr>
            <w:noProof w:val="0"/>
            <w:webHidden/>
          </w:rPr>
          <w:fldChar w:fldCharType="separate"/>
        </w:r>
        <w:r w:rsidR="00BA3B66" w:rsidRPr="00A80EDE">
          <w:rPr>
            <w:noProof w:val="0"/>
            <w:webHidden/>
          </w:rPr>
          <w:t>43</w:t>
        </w:r>
        <w:r w:rsidR="007455AA" w:rsidRPr="00A80EDE">
          <w:rPr>
            <w:noProof w:val="0"/>
            <w:webHidden/>
          </w:rPr>
          <w:fldChar w:fldCharType="end"/>
        </w:r>
      </w:hyperlink>
    </w:p>
    <w:p w14:paraId="75DEF029" w14:textId="3CD1F7E1" w:rsidR="007455AA" w:rsidRPr="00A80EDE" w:rsidRDefault="007455AA"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hyperlink w:anchor="_Toc216119118" w:history="1">
        <w:r w:rsidRPr="00A80EDE">
          <w:rPr>
            <w:rStyle w:val="Hyperlink"/>
            <w:noProof w:val="0"/>
          </w:rPr>
          <w:t xml:space="preserve">Conclusions of the report </w:t>
        </w:r>
        <w:r w:rsidRPr="00A80EDE">
          <w:rPr>
            <w:noProof w:val="0"/>
            <w:webHidden/>
          </w:rPr>
          <w:tab/>
        </w:r>
        <w:r w:rsidRPr="00A80EDE">
          <w:rPr>
            <w:noProof w:val="0"/>
            <w:webHidden/>
          </w:rPr>
          <w:fldChar w:fldCharType="begin"/>
        </w:r>
        <w:r w:rsidRPr="00A80EDE">
          <w:rPr>
            <w:noProof w:val="0"/>
            <w:webHidden/>
          </w:rPr>
          <w:instrText xml:space="preserve"> PAGEREF _Toc216119118 \h </w:instrText>
        </w:r>
        <w:r w:rsidRPr="00A80EDE">
          <w:rPr>
            <w:noProof w:val="0"/>
            <w:webHidden/>
          </w:rPr>
        </w:r>
        <w:r w:rsidRPr="00A80EDE">
          <w:rPr>
            <w:noProof w:val="0"/>
            <w:webHidden/>
          </w:rPr>
          <w:fldChar w:fldCharType="separate"/>
        </w:r>
        <w:r w:rsidR="00BA3B66" w:rsidRPr="00A80EDE">
          <w:rPr>
            <w:noProof w:val="0"/>
            <w:webHidden/>
          </w:rPr>
          <w:t>46</w:t>
        </w:r>
        <w:r w:rsidRPr="00A80EDE">
          <w:rPr>
            <w:noProof w:val="0"/>
            <w:webHidden/>
          </w:rPr>
          <w:fldChar w:fldCharType="end"/>
        </w:r>
      </w:hyperlink>
    </w:p>
    <w:p w14:paraId="04B04E6F" w14:textId="71E09A66" w:rsidR="007455AA" w:rsidRPr="00A80EDE" w:rsidRDefault="007455AA" w:rsidP="00A80EDE">
      <w:pPr>
        <w:pStyle w:val="Cuprins1"/>
        <w:suppressAutoHyphens/>
        <w:rPr>
          <w:rFonts w:asciiTheme="minorHAnsi" w:eastAsiaTheme="minorEastAsia" w:hAnsiTheme="minorHAnsi" w:cstheme="minorBidi"/>
          <w:bCs w:val="0"/>
          <w:caps w:val="0"/>
          <w:noProof w:val="0"/>
          <w:kern w:val="2"/>
          <w:sz w:val="24"/>
          <w:szCs w:val="24"/>
          <w:lang w:eastAsia="ro-RO"/>
          <w14:ligatures w14:val="standardContextual"/>
        </w:rPr>
      </w:pPr>
      <w:hyperlink w:anchor="_Toc216119119" w:history="1">
        <w:r w:rsidRPr="00A80EDE">
          <w:rPr>
            <w:rStyle w:val="Hyperlink"/>
            <w:noProof w:val="0"/>
          </w:rPr>
          <w:t>Recommendations</w:t>
        </w:r>
        <w:r w:rsidRPr="00A80EDE">
          <w:rPr>
            <w:noProof w:val="0"/>
            <w:webHidden/>
          </w:rPr>
          <w:tab/>
        </w:r>
        <w:r w:rsidRPr="00A80EDE">
          <w:rPr>
            <w:noProof w:val="0"/>
            <w:webHidden/>
          </w:rPr>
          <w:fldChar w:fldCharType="begin"/>
        </w:r>
        <w:r w:rsidRPr="00A80EDE">
          <w:rPr>
            <w:noProof w:val="0"/>
            <w:webHidden/>
          </w:rPr>
          <w:instrText xml:space="preserve"> PAGEREF _Toc216119119 \h </w:instrText>
        </w:r>
        <w:r w:rsidRPr="00A80EDE">
          <w:rPr>
            <w:noProof w:val="0"/>
            <w:webHidden/>
          </w:rPr>
        </w:r>
        <w:r w:rsidRPr="00A80EDE">
          <w:rPr>
            <w:noProof w:val="0"/>
            <w:webHidden/>
          </w:rPr>
          <w:fldChar w:fldCharType="separate"/>
        </w:r>
        <w:r w:rsidR="00BA3B66" w:rsidRPr="00A80EDE">
          <w:rPr>
            <w:noProof w:val="0"/>
            <w:webHidden/>
          </w:rPr>
          <w:t>51</w:t>
        </w:r>
        <w:r w:rsidRPr="00A80EDE">
          <w:rPr>
            <w:noProof w:val="0"/>
            <w:webHidden/>
          </w:rPr>
          <w:fldChar w:fldCharType="end"/>
        </w:r>
      </w:hyperlink>
    </w:p>
    <w:p w14:paraId="6322DB81" w14:textId="2BEDBA53" w:rsidR="00A420EC" w:rsidRPr="00A80EDE" w:rsidRDefault="00420280" w:rsidP="00A80EDE">
      <w:pPr>
        <w:suppressAutoHyphens/>
        <w:spacing w:before="60" w:afterLines="60" w:after="144"/>
        <w:rPr>
          <w:sz w:val="18"/>
        </w:rPr>
      </w:pPr>
      <w:r w:rsidRPr="00A80EDE">
        <w:rPr>
          <w:rFonts w:cs="Times New Roman"/>
          <w:bCs/>
          <w:sz w:val="18"/>
          <w:szCs w:val="18"/>
        </w:rPr>
        <w:fldChar w:fldCharType="end"/>
      </w:r>
    </w:p>
    <w:p w14:paraId="4B4BD382" w14:textId="77777777" w:rsidR="00A420EC" w:rsidRPr="00A80EDE" w:rsidRDefault="0091600E" w:rsidP="00A80EDE">
      <w:pPr>
        <w:suppressAutoHyphens/>
      </w:pPr>
      <w:r w:rsidRPr="00A80EDE">
        <w:t xml:space="preserve">List of acronyms </w:t>
      </w:r>
    </w:p>
    <w:tbl>
      <w:tblPr>
        <w:tblStyle w:val="Tabelgril"/>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435"/>
        <w:gridCol w:w="7584"/>
      </w:tblGrid>
      <w:tr w:rsidR="00A420EC" w:rsidRPr="00A80EDE" w14:paraId="4468B78E" w14:textId="77777777" w:rsidTr="000C67F7">
        <w:tc>
          <w:tcPr>
            <w:tcW w:w="1435" w:type="dxa"/>
          </w:tcPr>
          <w:p w14:paraId="36FE056F"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AA</w:t>
            </w:r>
          </w:p>
        </w:tc>
        <w:tc>
          <w:tcPr>
            <w:tcW w:w="7584" w:type="dxa"/>
          </w:tcPr>
          <w:p w14:paraId="4A2339AE" w14:textId="77777777" w:rsidR="00A420EC" w:rsidRPr="00A80EDE" w:rsidRDefault="0091600E" w:rsidP="00A80EDE">
            <w:pPr>
              <w:pStyle w:val="TableNormal1"/>
              <w:suppressAutoHyphens/>
              <w:rPr>
                <w:rFonts w:ascii="Arial" w:hAnsi="Arial" w:cs="Arial"/>
                <w:sz w:val="18"/>
                <w:szCs w:val="18"/>
              </w:rPr>
            </w:pPr>
            <w:r w:rsidRPr="00A80EDE">
              <w:rPr>
                <w:rFonts w:ascii="Arial" w:hAnsi="Arial" w:cs="Arial"/>
                <w:sz w:val="18"/>
                <w:szCs w:val="18"/>
              </w:rPr>
              <w:t>Audit Authority</w:t>
            </w:r>
          </w:p>
        </w:tc>
      </w:tr>
      <w:tr w:rsidR="00A420EC" w:rsidRPr="00A80EDE" w14:paraId="4A17780D" w14:textId="77777777" w:rsidTr="000C67F7">
        <w:tc>
          <w:tcPr>
            <w:tcW w:w="1435" w:type="dxa"/>
          </w:tcPr>
          <w:p w14:paraId="00569948"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AC</w:t>
            </w:r>
          </w:p>
        </w:tc>
        <w:tc>
          <w:tcPr>
            <w:tcW w:w="7584" w:type="dxa"/>
          </w:tcPr>
          <w:p w14:paraId="154318B4"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Contracting Authority</w:t>
            </w:r>
          </w:p>
        </w:tc>
      </w:tr>
      <w:tr w:rsidR="00A420EC" w:rsidRPr="00A80EDE" w14:paraId="7FF86058" w14:textId="77777777" w:rsidTr="000C67F7">
        <w:tc>
          <w:tcPr>
            <w:tcW w:w="1435" w:type="dxa"/>
          </w:tcPr>
          <w:p w14:paraId="01655796"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ACP</w:t>
            </w:r>
          </w:p>
        </w:tc>
        <w:tc>
          <w:tcPr>
            <w:tcW w:w="7584" w:type="dxa"/>
          </w:tcPr>
          <w:p w14:paraId="27DDB869"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Certification and Payment Authority</w:t>
            </w:r>
          </w:p>
        </w:tc>
      </w:tr>
      <w:tr w:rsidR="00A420EC" w:rsidRPr="00A80EDE" w14:paraId="29A12AD9" w14:textId="77777777" w:rsidTr="000C67F7">
        <w:tc>
          <w:tcPr>
            <w:tcW w:w="1435" w:type="dxa"/>
          </w:tcPr>
          <w:p w14:paraId="76951141" w14:textId="565AADAF"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 xml:space="preserve">ADR </w:t>
            </w:r>
          </w:p>
        </w:tc>
        <w:tc>
          <w:tcPr>
            <w:tcW w:w="7584" w:type="dxa"/>
          </w:tcPr>
          <w:p w14:paraId="4FC3E7D1"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 xml:space="preserve">Regional Development Agency </w:t>
            </w:r>
          </w:p>
        </w:tc>
      </w:tr>
      <w:tr w:rsidR="00A420EC" w:rsidRPr="00A80EDE" w14:paraId="678BC3C4" w14:textId="77777777" w:rsidTr="000C67F7">
        <w:tc>
          <w:tcPr>
            <w:tcW w:w="1435" w:type="dxa"/>
          </w:tcPr>
          <w:p w14:paraId="26F58C38" w14:textId="6FC600DE" w:rsidR="00A420EC" w:rsidRPr="00A80EDE" w:rsidRDefault="00240893" w:rsidP="00A80EDE">
            <w:pPr>
              <w:suppressAutoHyphens/>
              <w:spacing w:before="0" w:after="0"/>
              <w:rPr>
                <w:rFonts w:ascii="Arial" w:hAnsi="Arial" w:cs="Arial"/>
                <w:sz w:val="18"/>
                <w:szCs w:val="18"/>
              </w:rPr>
            </w:pPr>
            <w:r w:rsidRPr="00A80EDE">
              <w:rPr>
                <w:rFonts w:ascii="Arial" w:hAnsi="Arial" w:cs="Arial"/>
                <w:sz w:val="18"/>
                <w:szCs w:val="18"/>
              </w:rPr>
              <w:t>MA</w:t>
            </w:r>
          </w:p>
        </w:tc>
        <w:tc>
          <w:tcPr>
            <w:tcW w:w="7584" w:type="dxa"/>
          </w:tcPr>
          <w:p w14:paraId="3510FB77"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 xml:space="preserve">Managing Authority </w:t>
            </w:r>
          </w:p>
        </w:tc>
      </w:tr>
      <w:tr w:rsidR="0078533C" w:rsidRPr="00A80EDE" w14:paraId="5AFA9A40" w14:textId="77777777" w:rsidTr="000C67F7">
        <w:tc>
          <w:tcPr>
            <w:tcW w:w="1435" w:type="dxa"/>
          </w:tcPr>
          <w:p w14:paraId="76A02501" w14:textId="13BEDBC1" w:rsidR="0078533C" w:rsidRPr="00A80EDE" w:rsidRDefault="0078533C" w:rsidP="00A80EDE">
            <w:pPr>
              <w:suppressAutoHyphens/>
              <w:spacing w:before="0" w:after="0"/>
              <w:rPr>
                <w:rFonts w:ascii="Arial" w:hAnsi="Arial" w:cs="Arial"/>
                <w:sz w:val="18"/>
                <w:szCs w:val="18"/>
              </w:rPr>
            </w:pPr>
            <w:r w:rsidRPr="00A80EDE">
              <w:rPr>
                <w:rFonts w:ascii="Arial" w:hAnsi="Arial" w:cs="Arial"/>
                <w:sz w:val="18"/>
                <w:szCs w:val="18"/>
              </w:rPr>
              <w:t>AP</w:t>
            </w:r>
          </w:p>
        </w:tc>
        <w:tc>
          <w:tcPr>
            <w:tcW w:w="7584" w:type="dxa"/>
          </w:tcPr>
          <w:p w14:paraId="78B88CB3" w14:textId="177EABE2" w:rsidR="0078533C" w:rsidRPr="00A80EDE" w:rsidRDefault="0078533C" w:rsidP="00A80EDE">
            <w:pPr>
              <w:suppressAutoHyphens/>
              <w:spacing w:before="0" w:after="0"/>
              <w:rPr>
                <w:rFonts w:ascii="Arial" w:hAnsi="Arial" w:cs="Arial"/>
                <w:sz w:val="18"/>
                <w:szCs w:val="18"/>
              </w:rPr>
            </w:pPr>
            <w:r w:rsidRPr="00A80EDE">
              <w:rPr>
                <w:rFonts w:ascii="Arial" w:hAnsi="Arial" w:cs="Arial"/>
                <w:sz w:val="18"/>
                <w:szCs w:val="18"/>
              </w:rPr>
              <w:t>Partnership Agreement</w:t>
            </w:r>
          </w:p>
        </w:tc>
      </w:tr>
      <w:tr w:rsidR="005D289F" w:rsidRPr="00A80EDE" w14:paraId="7FF70948" w14:textId="77777777" w:rsidTr="000C67F7">
        <w:tc>
          <w:tcPr>
            <w:tcW w:w="1435" w:type="dxa"/>
          </w:tcPr>
          <w:p w14:paraId="0EB5F1B2" w14:textId="67A81452" w:rsidR="005D289F" w:rsidRPr="00A80EDE" w:rsidRDefault="005D289F" w:rsidP="00A80EDE">
            <w:pPr>
              <w:suppressAutoHyphens/>
              <w:spacing w:before="0" w:after="0"/>
              <w:rPr>
                <w:sz w:val="18"/>
                <w:szCs w:val="18"/>
              </w:rPr>
            </w:pPr>
            <w:r w:rsidRPr="00A80EDE">
              <w:rPr>
                <w:rFonts w:ascii="Arial" w:hAnsi="Arial" w:cs="Arial"/>
                <w:sz w:val="18"/>
                <w:szCs w:val="18"/>
              </w:rPr>
              <w:t>CIC</w:t>
            </w:r>
          </w:p>
        </w:tc>
        <w:tc>
          <w:tcPr>
            <w:tcW w:w="7584" w:type="dxa"/>
          </w:tcPr>
          <w:p w14:paraId="7505F0E2" w14:textId="36207B69" w:rsidR="005D289F" w:rsidRPr="00A80EDE" w:rsidRDefault="005D289F" w:rsidP="00A80EDE">
            <w:pPr>
              <w:suppressAutoHyphens/>
              <w:spacing w:before="0" w:after="0"/>
              <w:rPr>
                <w:sz w:val="18"/>
                <w:szCs w:val="18"/>
              </w:rPr>
            </w:pPr>
            <w:r w:rsidRPr="00A80EDE">
              <w:rPr>
                <w:rFonts w:ascii="Arial" w:hAnsi="Arial" w:cs="Arial"/>
                <w:sz w:val="18"/>
                <w:szCs w:val="18"/>
              </w:rPr>
              <w:t>Chamber of Commerce and Industry</w:t>
            </w:r>
          </w:p>
        </w:tc>
      </w:tr>
      <w:tr w:rsidR="005D289F" w:rsidRPr="00A80EDE" w14:paraId="2BD64C1F" w14:textId="77777777" w:rsidTr="000C67F7">
        <w:tc>
          <w:tcPr>
            <w:tcW w:w="1435" w:type="dxa"/>
          </w:tcPr>
          <w:p w14:paraId="59CE63CC" w14:textId="160CD807" w:rsidR="005D289F" w:rsidRPr="00A80EDE" w:rsidRDefault="005D289F" w:rsidP="00A80EDE">
            <w:pPr>
              <w:suppressAutoHyphens/>
              <w:spacing w:before="0" w:after="0"/>
              <w:rPr>
                <w:sz w:val="18"/>
                <w:szCs w:val="18"/>
              </w:rPr>
            </w:pPr>
            <w:r w:rsidRPr="00A80EDE">
              <w:rPr>
                <w:rFonts w:ascii="Arial" w:hAnsi="Arial" w:cs="Arial"/>
                <w:sz w:val="18"/>
                <w:szCs w:val="18"/>
              </w:rPr>
              <w:t>CJ</w:t>
            </w:r>
          </w:p>
        </w:tc>
        <w:tc>
          <w:tcPr>
            <w:tcW w:w="7584" w:type="dxa"/>
          </w:tcPr>
          <w:p w14:paraId="5DD768A4" w14:textId="05C840F0" w:rsidR="005D289F" w:rsidRPr="00A80EDE" w:rsidRDefault="005D289F" w:rsidP="00A80EDE">
            <w:pPr>
              <w:suppressAutoHyphens/>
              <w:spacing w:before="0" w:after="0"/>
              <w:rPr>
                <w:sz w:val="18"/>
                <w:szCs w:val="18"/>
              </w:rPr>
            </w:pPr>
            <w:r w:rsidRPr="00A80EDE">
              <w:rPr>
                <w:rFonts w:ascii="Arial" w:hAnsi="Arial" w:cs="Arial"/>
                <w:sz w:val="18"/>
                <w:szCs w:val="18"/>
              </w:rPr>
              <w:t>County Council</w:t>
            </w:r>
          </w:p>
        </w:tc>
      </w:tr>
      <w:tr w:rsidR="00A420EC" w:rsidRPr="00A80EDE" w14:paraId="7C9AAAED" w14:textId="77777777" w:rsidTr="000C67F7">
        <w:tc>
          <w:tcPr>
            <w:tcW w:w="1435" w:type="dxa"/>
          </w:tcPr>
          <w:p w14:paraId="77E2379A"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CM</w:t>
            </w:r>
          </w:p>
        </w:tc>
        <w:tc>
          <w:tcPr>
            <w:tcW w:w="7584" w:type="dxa"/>
          </w:tcPr>
          <w:p w14:paraId="3C7C0362"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 xml:space="preserve">Monitoring Committee </w:t>
            </w:r>
          </w:p>
        </w:tc>
      </w:tr>
      <w:tr w:rsidR="00A420EC" w:rsidRPr="00A80EDE" w14:paraId="696F41EF" w14:textId="77777777" w:rsidTr="000C67F7">
        <w:tc>
          <w:tcPr>
            <w:tcW w:w="1435" w:type="dxa"/>
          </w:tcPr>
          <w:p w14:paraId="549C4E9E"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CRI</w:t>
            </w:r>
          </w:p>
        </w:tc>
        <w:tc>
          <w:tcPr>
            <w:tcW w:w="7584" w:type="dxa"/>
          </w:tcPr>
          <w:p w14:paraId="0B80DB71"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Regional Innovation Consortium</w:t>
            </w:r>
          </w:p>
        </w:tc>
      </w:tr>
      <w:tr w:rsidR="00A420EC" w:rsidRPr="00A80EDE" w14:paraId="3C9847A5" w14:textId="77777777" w:rsidTr="000C67F7">
        <w:tc>
          <w:tcPr>
            <w:tcW w:w="1435" w:type="dxa"/>
          </w:tcPr>
          <w:p w14:paraId="6C415D64"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CRP</w:t>
            </w:r>
          </w:p>
        </w:tc>
        <w:tc>
          <w:tcPr>
            <w:tcW w:w="7584" w:type="dxa"/>
          </w:tcPr>
          <w:p w14:paraId="22A8B0ED"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Regional Planning Committee</w:t>
            </w:r>
          </w:p>
        </w:tc>
      </w:tr>
      <w:tr w:rsidR="00A420EC" w:rsidRPr="00A80EDE" w14:paraId="69CFF041" w14:textId="77777777" w:rsidTr="000C67F7">
        <w:tc>
          <w:tcPr>
            <w:tcW w:w="1435" w:type="dxa"/>
          </w:tcPr>
          <w:p w14:paraId="39014CB9"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CdS</w:t>
            </w:r>
          </w:p>
        </w:tc>
        <w:tc>
          <w:tcPr>
            <w:tcW w:w="7584" w:type="dxa"/>
          </w:tcPr>
          <w:p w14:paraId="01E92F80" w14:textId="6C7566B1" w:rsidR="00A420EC" w:rsidRPr="00A80EDE" w:rsidRDefault="0064166B" w:rsidP="00A80EDE">
            <w:pPr>
              <w:suppressAutoHyphens/>
              <w:spacing w:before="0" w:after="0"/>
              <w:rPr>
                <w:rFonts w:ascii="Arial" w:hAnsi="Arial" w:cs="Arial"/>
                <w:sz w:val="18"/>
                <w:szCs w:val="18"/>
              </w:rPr>
            </w:pPr>
            <w:r w:rsidRPr="00A80EDE">
              <w:rPr>
                <w:rFonts w:ascii="Arial" w:hAnsi="Arial" w:cs="Arial"/>
                <w:sz w:val="18"/>
                <w:szCs w:val="18"/>
              </w:rPr>
              <w:t>Terms of Reference</w:t>
            </w:r>
          </w:p>
        </w:tc>
      </w:tr>
      <w:tr w:rsidR="00B9395F" w:rsidRPr="00A80EDE" w14:paraId="1AB28FE2" w14:textId="77777777" w:rsidTr="000C67F7">
        <w:tc>
          <w:tcPr>
            <w:tcW w:w="1435" w:type="dxa"/>
          </w:tcPr>
          <w:p w14:paraId="3BCDDC4B" w14:textId="7DE02574" w:rsidR="00B9395F" w:rsidRPr="00A80EDE" w:rsidRDefault="00B9395F" w:rsidP="00A80EDE">
            <w:pPr>
              <w:suppressAutoHyphens/>
              <w:spacing w:before="0" w:after="0"/>
              <w:rPr>
                <w:sz w:val="18"/>
                <w:szCs w:val="18"/>
              </w:rPr>
            </w:pPr>
            <w:r w:rsidRPr="00A80EDE">
              <w:rPr>
                <w:rFonts w:ascii="Arial" w:hAnsi="Arial" w:cs="Arial"/>
                <w:sz w:val="18"/>
                <w:szCs w:val="18"/>
              </w:rPr>
              <w:t>DS</w:t>
            </w:r>
          </w:p>
        </w:tc>
        <w:tc>
          <w:tcPr>
            <w:tcW w:w="7584" w:type="dxa"/>
          </w:tcPr>
          <w:p w14:paraId="638905DB" w14:textId="61C456E3" w:rsidR="00B9395F" w:rsidRPr="00A80EDE" w:rsidRDefault="00B9395F" w:rsidP="00A80EDE">
            <w:pPr>
              <w:suppressAutoHyphens/>
              <w:spacing w:before="0" w:after="0"/>
              <w:rPr>
                <w:sz w:val="18"/>
                <w:szCs w:val="18"/>
              </w:rPr>
            </w:pPr>
            <w:r w:rsidRPr="00A80EDE">
              <w:rPr>
                <w:rFonts w:ascii="Arial" w:hAnsi="Arial" w:cs="Arial"/>
                <w:sz w:val="18"/>
                <w:szCs w:val="18"/>
              </w:rPr>
              <w:t>Description of the Management and Control System</w:t>
            </w:r>
          </w:p>
        </w:tc>
      </w:tr>
      <w:tr w:rsidR="0078533C" w:rsidRPr="00A80EDE" w14:paraId="137FDFA0" w14:textId="77777777" w:rsidTr="000C67F7">
        <w:tc>
          <w:tcPr>
            <w:tcW w:w="1435" w:type="dxa"/>
          </w:tcPr>
          <w:p w14:paraId="588B9B85" w14:textId="7A57BF23" w:rsidR="0078533C" w:rsidRPr="00A80EDE" w:rsidRDefault="0078533C" w:rsidP="00A80EDE">
            <w:pPr>
              <w:suppressAutoHyphens/>
              <w:spacing w:before="0" w:after="0"/>
              <w:rPr>
                <w:rFonts w:ascii="Arial" w:hAnsi="Arial" w:cs="Arial"/>
                <w:sz w:val="18"/>
                <w:szCs w:val="18"/>
              </w:rPr>
            </w:pPr>
            <w:r w:rsidRPr="00A80EDE">
              <w:rPr>
                <w:rFonts w:ascii="Arial" w:hAnsi="Arial" w:cs="Arial"/>
                <w:sz w:val="18"/>
                <w:szCs w:val="18"/>
              </w:rPr>
              <w:t>GS</w:t>
            </w:r>
          </w:p>
        </w:tc>
        <w:tc>
          <w:tcPr>
            <w:tcW w:w="7584" w:type="dxa"/>
          </w:tcPr>
          <w:p w14:paraId="7EDA3067" w14:textId="13007803" w:rsidR="0078533C" w:rsidRPr="00A80EDE" w:rsidRDefault="00FB3B29" w:rsidP="00A80EDE">
            <w:pPr>
              <w:suppressAutoHyphens/>
              <w:spacing w:before="0" w:after="0"/>
              <w:rPr>
                <w:rFonts w:ascii="Arial" w:hAnsi="Arial" w:cs="Arial"/>
                <w:sz w:val="18"/>
                <w:szCs w:val="18"/>
              </w:rPr>
            </w:pPr>
            <w:r w:rsidRPr="00A80EDE">
              <w:rPr>
                <w:rFonts w:ascii="Arial" w:hAnsi="Arial" w:cs="Arial"/>
                <w:sz w:val="18"/>
                <w:szCs w:val="18"/>
              </w:rPr>
              <w:t>Applicant's Guide</w:t>
            </w:r>
          </w:p>
        </w:tc>
      </w:tr>
      <w:tr w:rsidR="00A420EC" w:rsidRPr="00A80EDE" w14:paraId="16181008" w14:textId="77777777" w:rsidTr="000C67F7">
        <w:tc>
          <w:tcPr>
            <w:tcW w:w="1435" w:type="dxa"/>
          </w:tcPr>
          <w:p w14:paraId="020E57A3"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MIPE</w:t>
            </w:r>
          </w:p>
        </w:tc>
        <w:tc>
          <w:tcPr>
            <w:tcW w:w="7584" w:type="dxa"/>
          </w:tcPr>
          <w:p w14:paraId="7B44B671"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Ministry of Investments and European Projects</w:t>
            </w:r>
          </w:p>
        </w:tc>
      </w:tr>
      <w:tr w:rsidR="00224B8C" w:rsidRPr="00A80EDE" w14:paraId="23F496AD" w14:textId="77777777" w:rsidTr="000C67F7">
        <w:tc>
          <w:tcPr>
            <w:tcW w:w="1435" w:type="dxa"/>
          </w:tcPr>
          <w:p w14:paraId="660EB591" w14:textId="74E08A2C" w:rsidR="00224B8C" w:rsidRPr="00A80EDE" w:rsidRDefault="00224B8C" w:rsidP="00A80EDE">
            <w:pPr>
              <w:suppressAutoHyphens/>
              <w:spacing w:before="0" w:after="0"/>
              <w:rPr>
                <w:sz w:val="18"/>
                <w:szCs w:val="18"/>
              </w:rPr>
            </w:pPr>
            <w:r w:rsidRPr="00A80EDE">
              <w:rPr>
                <w:rFonts w:ascii="Arial" w:hAnsi="Arial" w:cs="Arial"/>
                <w:sz w:val="18"/>
                <w:szCs w:val="18"/>
              </w:rPr>
              <w:lastRenderedPageBreak/>
              <w:t>MTR</w:t>
            </w:r>
          </w:p>
        </w:tc>
        <w:tc>
          <w:tcPr>
            <w:tcW w:w="7584" w:type="dxa"/>
          </w:tcPr>
          <w:p w14:paraId="5D586A58" w14:textId="6521A6EE" w:rsidR="00224B8C" w:rsidRPr="00A80EDE" w:rsidRDefault="00224B8C" w:rsidP="00A80EDE">
            <w:pPr>
              <w:suppressAutoHyphens/>
              <w:spacing w:before="0" w:after="0"/>
              <w:rPr>
                <w:sz w:val="18"/>
                <w:szCs w:val="18"/>
              </w:rPr>
            </w:pPr>
            <w:r w:rsidRPr="00A80EDE">
              <w:rPr>
                <w:rFonts w:ascii="Arial" w:hAnsi="Arial" w:cs="Arial"/>
                <w:sz w:val="18"/>
                <w:szCs w:val="18"/>
              </w:rPr>
              <w:t>Mid-Term Review Report</w:t>
            </w:r>
          </w:p>
        </w:tc>
      </w:tr>
      <w:tr w:rsidR="00A420EC" w:rsidRPr="00A80EDE" w14:paraId="2E5243B3" w14:textId="77777777" w:rsidTr="000C67F7">
        <w:tc>
          <w:tcPr>
            <w:tcW w:w="1435" w:type="dxa"/>
          </w:tcPr>
          <w:p w14:paraId="342BBA94" w14:textId="2E8F11D5" w:rsidR="00A420EC" w:rsidRPr="00A80EDE" w:rsidRDefault="00946F7F" w:rsidP="00A80EDE">
            <w:pPr>
              <w:suppressAutoHyphens/>
              <w:spacing w:before="0" w:after="0"/>
              <w:rPr>
                <w:rFonts w:ascii="Arial" w:hAnsi="Arial" w:cs="Arial"/>
                <w:sz w:val="18"/>
                <w:szCs w:val="18"/>
              </w:rPr>
            </w:pPr>
            <w:r w:rsidRPr="00A80EDE">
              <w:rPr>
                <w:rFonts w:ascii="Arial" w:hAnsi="Arial" w:cs="Arial"/>
                <w:sz w:val="18"/>
                <w:szCs w:val="18"/>
              </w:rPr>
              <w:t>MySMIS</w:t>
            </w:r>
          </w:p>
        </w:tc>
        <w:tc>
          <w:tcPr>
            <w:tcW w:w="7584" w:type="dxa"/>
          </w:tcPr>
          <w:p w14:paraId="0CA19809" w14:textId="4481CE8B"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 xml:space="preserve">System for recording and storing in </w:t>
            </w:r>
            <w:r w:rsidR="0064166B" w:rsidRPr="00A80EDE">
              <w:rPr>
                <w:rFonts w:ascii="Arial" w:hAnsi="Arial" w:cs="Arial"/>
                <w:sz w:val="18"/>
                <w:szCs w:val="18"/>
              </w:rPr>
              <w:t>computerized</w:t>
            </w:r>
            <w:r w:rsidRPr="00A80EDE">
              <w:rPr>
                <w:rFonts w:ascii="Arial" w:hAnsi="Arial" w:cs="Arial"/>
                <w:sz w:val="18"/>
                <w:szCs w:val="18"/>
              </w:rPr>
              <w:t xml:space="preserve"> form the data relating to each operation, necessary for monitoring, evaluation, financial management, verifications and audits under the operational programmes managed at national level</w:t>
            </w:r>
          </w:p>
        </w:tc>
      </w:tr>
      <w:tr w:rsidR="006E2087" w:rsidRPr="00A80EDE" w14:paraId="72D84AEE" w14:textId="77777777" w:rsidTr="000C67F7">
        <w:tc>
          <w:tcPr>
            <w:tcW w:w="1435" w:type="dxa"/>
          </w:tcPr>
          <w:p w14:paraId="63F24A2E" w14:textId="44565529" w:rsidR="006E2087" w:rsidRPr="00A80EDE" w:rsidRDefault="006E2087" w:rsidP="00A80EDE">
            <w:pPr>
              <w:suppressAutoHyphens/>
              <w:spacing w:before="0" w:after="0"/>
              <w:rPr>
                <w:rFonts w:ascii="Arial" w:hAnsi="Arial" w:cs="Arial"/>
                <w:sz w:val="18"/>
                <w:szCs w:val="18"/>
              </w:rPr>
            </w:pPr>
            <w:r w:rsidRPr="00A80EDE">
              <w:rPr>
                <w:rFonts w:ascii="Arial" w:hAnsi="Arial" w:cs="Arial"/>
                <w:sz w:val="18"/>
                <w:szCs w:val="18"/>
              </w:rPr>
              <w:t>OI</w:t>
            </w:r>
          </w:p>
        </w:tc>
        <w:tc>
          <w:tcPr>
            <w:tcW w:w="7584" w:type="dxa"/>
          </w:tcPr>
          <w:p w14:paraId="6114B7B3" w14:textId="23FE378E" w:rsidR="006E2087" w:rsidRPr="00A80EDE" w:rsidRDefault="006E2087" w:rsidP="00A80EDE">
            <w:pPr>
              <w:suppressAutoHyphens/>
              <w:spacing w:before="0" w:after="0"/>
              <w:rPr>
                <w:rFonts w:ascii="Arial" w:hAnsi="Arial" w:cs="Arial"/>
                <w:sz w:val="18"/>
                <w:szCs w:val="18"/>
              </w:rPr>
            </w:pPr>
            <w:r w:rsidRPr="00A80EDE">
              <w:rPr>
                <w:rFonts w:ascii="Arial" w:hAnsi="Arial" w:cs="Arial"/>
                <w:sz w:val="18"/>
                <w:szCs w:val="18"/>
              </w:rPr>
              <w:t>Intermediate Body</w:t>
            </w:r>
          </w:p>
        </w:tc>
      </w:tr>
      <w:tr w:rsidR="00A420EC" w:rsidRPr="00A80EDE" w14:paraId="165F2064" w14:textId="77777777" w:rsidTr="000C67F7">
        <w:tc>
          <w:tcPr>
            <w:tcW w:w="1435" w:type="dxa"/>
          </w:tcPr>
          <w:p w14:paraId="0DBB809E"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RDP</w:t>
            </w:r>
          </w:p>
        </w:tc>
        <w:tc>
          <w:tcPr>
            <w:tcW w:w="7584" w:type="dxa"/>
          </w:tcPr>
          <w:p w14:paraId="6D41F4F4" w14:textId="5D061965"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 xml:space="preserve">Regional Development Plan </w:t>
            </w:r>
            <w:r w:rsidR="0064166B" w:rsidRPr="00A80EDE">
              <w:rPr>
                <w:rFonts w:ascii="Arial" w:hAnsi="Arial" w:cs="Arial"/>
                <w:sz w:val="18"/>
                <w:szCs w:val="18"/>
              </w:rPr>
              <w:t>for</w:t>
            </w:r>
            <w:r w:rsidRPr="00A80EDE">
              <w:rPr>
                <w:rFonts w:ascii="Arial" w:hAnsi="Arial" w:cs="Arial"/>
                <w:sz w:val="18"/>
                <w:szCs w:val="18"/>
              </w:rPr>
              <w:t xml:space="preserve"> the Centre Region 2021-2027</w:t>
            </w:r>
          </w:p>
        </w:tc>
      </w:tr>
      <w:tr w:rsidR="00EA1293" w:rsidRPr="00A80EDE" w14:paraId="183B8471" w14:textId="77777777" w:rsidTr="000C67F7">
        <w:tc>
          <w:tcPr>
            <w:tcW w:w="1435" w:type="dxa"/>
          </w:tcPr>
          <w:p w14:paraId="1DAD30A9" w14:textId="1A1C2CE0" w:rsidR="00EA1293" w:rsidRPr="00A80EDE" w:rsidRDefault="00EA1293" w:rsidP="00A80EDE">
            <w:pPr>
              <w:suppressAutoHyphens/>
              <w:spacing w:before="0" w:after="0"/>
              <w:rPr>
                <w:sz w:val="18"/>
                <w:szCs w:val="18"/>
              </w:rPr>
            </w:pPr>
            <w:r w:rsidRPr="00A80EDE">
              <w:rPr>
                <w:rFonts w:ascii="Arial" w:hAnsi="Arial" w:cs="Arial"/>
                <w:sz w:val="18"/>
                <w:szCs w:val="18"/>
              </w:rPr>
              <w:t>PR Center</w:t>
            </w:r>
          </w:p>
        </w:tc>
        <w:tc>
          <w:tcPr>
            <w:tcW w:w="7584" w:type="dxa"/>
          </w:tcPr>
          <w:p w14:paraId="183083C3" w14:textId="764FDD0B" w:rsidR="00EA1293" w:rsidRPr="00A80EDE" w:rsidRDefault="00EA1293" w:rsidP="00A80EDE">
            <w:pPr>
              <w:suppressAutoHyphens/>
              <w:spacing w:before="0" w:after="0"/>
              <w:rPr>
                <w:sz w:val="18"/>
                <w:szCs w:val="18"/>
              </w:rPr>
            </w:pPr>
            <w:r w:rsidRPr="00A80EDE">
              <w:rPr>
                <w:rFonts w:ascii="Arial" w:hAnsi="Arial" w:cs="Arial"/>
                <w:sz w:val="18"/>
                <w:szCs w:val="18"/>
              </w:rPr>
              <w:t>Center Region Program</w:t>
            </w:r>
          </w:p>
        </w:tc>
      </w:tr>
      <w:tr w:rsidR="00100827" w:rsidRPr="00A80EDE" w14:paraId="26BD42BD" w14:textId="77777777" w:rsidTr="000C67F7">
        <w:tc>
          <w:tcPr>
            <w:tcW w:w="1435" w:type="dxa"/>
          </w:tcPr>
          <w:p w14:paraId="4ADF478F" w14:textId="3F096150" w:rsidR="00100827" w:rsidRPr="00A80EDE" w:rsidRDefault="00100827" w:rsidP="00A80EDE">
            <w:pPr>
              <w:suppressAutoHyphens/>
              <w:spacing w:before="0" w:after="0"/>
              <w:rPr>
                <w:sz w:val="18"/>
                <w:szCs w:val="18"/>
              </w:rPr>
            </w:pPr>
            <w:r w:rsidRPr="00A80EDE">
              <w:rPr>
                <w:rFonts w:ascii="Arial" w:hAnsi="Arial" w:cs="Arial"/>
                <w:sz w:val="18"/>
                <w:szCs w:val="18"/>
              </w:rPr>
              <w:t>RIS3</w:t>
            </w:r>
          </w:p>
        </w:tc>
        <w:tc>
          <w:tcPr>
            <w:tcW w:w="7584" w:type="dxa"/>
          </w:tcPr>
          <w:p w14:paraId="72C911D0" w14:textId="65E71433" w:rsidR="00100827" w:rsidRPr="00A80EDE" w:rsidRDefault="00100827" w:rsidP="00A80EDE">
            <w:pPr>
              <w:suppressAutoHyphens/>
              <w:spacing w:before="0" w:after="0"/>
              <w:rPr>
                <w:sz w:val="18"/>
                <w:szCs w:val="18"/>
              </w:rPr>
            </w:pPr>
            <w:r w:rsidRPr="00A80EDE">
              <w:rPr>
                <w:rFonts w:ascii="Arial" w:hAnsi="Arial" w:cs="Arial"/>
                <w:sz w:val="18"/>
                <w:szCs w:val="18"/>
              </w:rPr>
              <w:t xml:space="preserve">Smart Specialisation Strategy 2021-2027 </w:t>
            </w:r>
          </w:p>
        </w:tc>
      </w:tr>
      <w:tr w:rsidR="00100827" w:rsidRPr="00A80EDE" w14:paraId="304C8989" w14:textId="77777777" w:rsidTr="000C67F7">
        <w:tc>
          <w:tcPr>
            <w:tcW w:w="1435" w:type="dxa"/>
          </w:tcPr>
          <w:p w14:paraId="36DA8242" w14:textId="73368A81" w:rsidR="00100827" w:rsidRPr="00A80EDE" w:rsidRDefault="00100827" w:rsidP="00A80EDE">
            <w:pPr>
              <w:suppressAutoHyphens/>
              <w:spacing w:before="0" w:after="0"/>
              <w:rPr>
                <w:sz w:val="18"/>
                <w:szCs w:val="18"/>
              </w:rPr>
            </w:pPr>
            <w:r w:rsidRPr="00A80EDE">
              <w:rPr>
                <w:rFonts w:ascii="Arial" w:hAnsi="Arial" w:cs="Arial"/>
                <w:sz w:val="18"/>
                <w:szCs w:val="18"/>
              </w:rPr>
              <w:t>ROF</w:t>
            </w:r>
          </w:p>
        </w:tc>
        <w:tc>
          <w:tcPr>
            <w:tcW w:w="7584" w:type="dxa"/>
          </w:tcPr>
          <w:p w14:paraId="77C3DEF0" w14:textId="0E6C6649" w:rsidR="00100827" w:rsidRPr="00A80EDE" w:rsidRDefault="00100827" w:rsidP="00A80EDE">
            <w:pPr>
              <w:suppressAutoHyphens/>
              <w:spacing w:before="0" w:after="0"/>
              <w:rPr>
                <w:sz w:val="18"/>
                <w:szCs w:val="18"/>
              </w:rPr>
            </w:pPr>
            <w:r w:rsidRPr="00A80EDE">
              <w:rPr>
                <w:rFonts w:ascii="Arial" w:hAnsi="Arial" w:cs="Arial"/>
                <w:sz w:val="18"/>
                <w:szCs w:val="18"/>
              </w:rPr>
              <w:t>Organization and Functioning Regulations</w:t>
            </w:r>
          </w:p>
        </w:tc>
      </w:tr>
      <w:tr w:rsidR="00100827" w:rsidRPr="00A80EDE" w14:paraId="0F8FB52F" w14:textId="77777777" w:rsidTr="000C67F7">
        <w:tc>
          <w:tcPr>
            <w:tcW w:w="1435" w:type="dxa"/>
          </w:tcPr>
          <w:p w14:paraId="32DEA167" w14:textId="6F9CB5E4" w:rsidR="00100827" w:rsidRPr="00A80EDE" w:rsidRDefault="00100827" w:rsidP="00A80EDE">
            <w:pPr>
              <w:suppressAutoHyphens/>
              <w:spacing w:before="0" w:after="0"/>
              <w:rPr>
                <w:sz w:val="18"/>
                <w:szCs w:val="18"/>
              </w:rPr>
            </w:pPr>
            <w:r w:rsidRPr="00A80EDE">
              <w:rPr>
                <w:rFonts w:ascii="Arial" w:hAnsi="Arial" w:cs="Arial"/>
                <w:sz w:val="18"/>
                <w:szCs w:val="18"/>
              </w:rPr>
              <w:t>ROREG</w:t>
            </w:r>
          </w:p>
        </w:tc>
        <w:tc>
          <w:tcPr>
            <w:tcW w:w="7584" w:type="dxa"/>
          </w:tcPr>
          <w:p w14:paraId="21E2A990" w14:textId="69FACE95" w:rsidR="00100827" w:rsidRPr="00A80EDE" w:rsidRDefault="00100827" w:rsidP="00A80EDE">
            <w:pPr>
              <w:suppressAutoHyphens/>
              <w:spacing w:before="0" w:after="0"/>
              <w:rPr>
                <w:sz w:val="18"/>
                <w:szCs w:val="18"/>
              </w:rPr>
            </w:pPr>
            <w:r w:rsidRPr="00A80EDE">
              <w:rPr>
                <w:rFonts w:ascii="Arial" w:hAnsi="Arial" w:cs="Arial"/>
                <w:sz w:val="18"/>
                <w:szCs w:val="18"/>
              </w:rPr>
              <w:t>Association of Regional Development Agencies in Romania</w:t>
            </w:r>
          </w:p>
        </w:tc>
      </w:tr>
      <w:tr w:rsidR="0017014E" w:rsidRPr="00A80EDE" w14:paraId="08FB43B1" w14:textId="77777777" w:rsidTr="000C67F7">
        <w:tc>
          <w:tcPr>
            <w:tcW w:w="1435" w:type="dxa"/>
          </w:tcPr>
          <w:p w14:paraId="3FE502F3" w14:textId="08AC2002" w:rsidR="0017014E" w:rsidRPr="00A80EDE" w:rsidRDefault="0017014E" w:rsidP="00A80EDE">
            <w:pPr>
              <w:suppressAutoHyphens/>
              <w:spacing w:before="0" w:after="0"/>
              <w:rPr>
                <w:rFonts w:ascii="Arial" w:hAnsi="Arial" w:cs="Arial"/>
                <w:sz w:val="18"/>
                <w:szCs w:val="18"/>
              </w:rPr>
            </w:pPr>
            <w:r w:rsidRPr="00A80EDE">
              <w:rPr>
                <w:rFonts w:ascii="Arial" w:hAnsi="Arial" w:cs="Arial"/>
                <w:sz w:val="18"/>
                <w:szCs w:val="18"/>
              </w:rPr>
              <w:t>SCO</w:t>
            </w:r>
          </w:p>
        </w:tc>
        <w:tc>
          <w:tcPr>
            <w:tcW w:w="7584" w:type="dxa"/>
          </w:tcPr>
          <w:p w14:paraId="4FAF090E" w14:textId="700621CB" w:rsidR="0017014E" w:rsidRPr="00A80EDE" w:rsidRDefault="004D4D85" w:rsidP="00A80EDE">
            <w:pPr>
              <w:suppressAutoHyphens/>
              <w:spacing w:before="0" w:after="0"/>
              <w:rPr>
                <w:rFonts w:ascii="Arial" w:hAnsi="Arial" w:cs="Arial"/>
                <w:sz w:val="18"/>
                <w:szCs w:val="18"/>
              </w:rPr>
            </w:pPr>
            <w:r w:rsidRPr="00A80EDE">
              <w:rPr>
                <w:rFonts w:ascii="Arial" w:hAnsi="Arial" w:cs="Arial"/>
                <w:sz w:val="18"/>
                <w:szCs w:val="18"/>
              </w:rPr>
              <w:t>Simplified Cost Options (</w:t>
            </w:r>
            <w:r w:rsidR="00371077" w:rsidRPr="00A80EDE">
              <w:rPr>
                <w:rFonts w:ascii="Arial" w:hAnsi="Arial" w:cs="Arial"/>
              </w:rPr>
              <w:t>SCOs)</w:t>
            </w:r>
          </w:p>
        </w:tc>
      </w:tr>
      <w:tr w:rsidR="00100827" w:rsidRPr="00A80EDE" w14:paraId="23F3D6B6" w14:textId="77777777" w:rsidTr="000C67F7">
        <w:tc>
          <w:tcPr>
            <w:tcW w:w="1435" w:type="dxa"/>
          </w:tcPr>
          <w:p w14:paraId="68C176BA" w14:textId="4F9341B0" w:rsidR="00100827" w:rsidRPr="00A80EDE" w:rsidRDefault="00100827" w:rsidP="00A80EDE">
            <w:pPr>
              <w:suppressAutoHyphens/>
              <w:spacing w:before="0" w:after="0"/>
              <w:rPr>
                <w:sz w:val="18"/>
                <w:szCs w:val="18"/>
              </w:rPr>
            </w:pPr>
            <w:r w:rsidRPr="00A80EDE">
              <w:rPr>
                <w:rFonts w:ascii="Arial" w:hAnsi="Arial" w:cs="Arial"/>
                <w:sz w:val="18"/>
                <w:szCs w:val="18"/>
              </w:rPr>
              <w:t>SdC</w:t>
            </w:r>
          </w:p>
        </w:tc>
        <w:tc>
          <w:tcPr>
            <w:tcW w:w="7584" w:type="dxa"/>
          </w:tcPr>
          <w:p w14:paraId="60F4A1E6" w14:textId="5F4BCED5" w:rsidR="00100827" w:rsidRPr="00A80EDE" w:rsidRDefault="00100827" w:rsidP="00A80EDE">
            <w:pPr>
              <w:suppressAutoHyphens/>
              <w:spacing w:before="0" w:after="0"/>
              <w:rPr>
                <w:sz w:val="18"/>
                <w:szCs w:val="18"/>
              </w:rPr>
            </w:pPr>
            <w:r w:rsidRPr="00A80EDE">
              <w:rPr>
                <w:rFonts w:ascii="Arial" w:hAnsi="Arial" w:cs="Arial"/>
                <w:sz w:val="18"/>
                <w:szCs w:val="18"/>
              </w:rPr>
              <w:t>Case Studies</w:t>
            </w:r>
          </w:p>
        </w:tc>
      </w:tr>
      <w:tr w:rsidR="00A420EC" w:rsidRPr="00A80EDE" w14:paraId="2D85503F" w14:textId="77777777" w:rsidTr="000C67F7">
        <w:tc>
          <w:tcPr>
            <w:tcW w:w="1435" w:type="dxa"/>
          </w:tcPr>
          <w:p w14:paraId="5A6A5798" w14:textId="50E52670"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SMC</w:t>
            </w:r>
          </w:p>
        </w:tc>
        <w:tc>
          <w:tcPr>
            <w:tcW w:w="7584" w:type="dxa"/>
          </w:tcPr>
          <w:p w14:paraId="3CAF560F" w14:textId="020067EA"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Management and control system</w:t>
            </w:r>
          </w:p>
        </w:tc>
      </w:tr>
      <w:tr w:rsidR="00A420EC" w:rsidRPr="00A80EDE" w14:paraId="17E4703C" w14:textId="77777777" w:rsidTr="000C67F7">
        <w:tc>
          <w:tcPr>
            <w:tcW w:w="1435" w:type="dxa"/>
          </w:tcPr>
          <w:p w14:paraId="7F83234B" w14:textId="45F25A54"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UAT</w:t>
            </w:r>
          </w:p>
        </w:tc>
        <w:tc>
          <w:tcPr>
            <w:tcW w:w="7584" w:type="dxa"/>
          </w:tcPr>
          <w:p w14:paraId="64EDF532" w14:textId="77777777" w:rsidR="00A420EC" w:rsidRPr="00A80EDE" w:rsidRDefault="0091600E" w:rsidP="00A80EDE">
            <w:pPr>
              <w:suppressAutoHyphens/>
              <w:spacing w:before="0" w:after="0"/>
              <w:rPr>
                <w:rFonts w:ascii="Arial" w:hAnsi="Arial" w:cs="Arial"/>
                <w:sz w:val="18"/>
                <w:szCs w:val="18"/>
              </w:rPr>
            </w:pPr>
            <w:r w:rsidRPr="00A80EDE">
              <w:rPr>
                <w:rFonts w:ascii="Arial" w:hAnsi="Arial" w:cs="Arial"/>
                <w:sz w:val="18"/>
                <w:szCs w:val="18"/>
              </w:rPr>
              <w:t>Administrative-territorial units</w:t>
            </w:r>
          </w:p>
        </w:tc>
      </w:tr>
    </w:tbl>
    <w:p w14:paraId="31B264F2" w14:textId="669D3942" w:rsidR="00A420EC" w:rsidRPr="00A80EDE" w:rsidRDefault="008F15B1" w:rsidP="00A80EDE">
      <w:pPr>
        <w:suppressAutoHyphens/>
      </w:pPr>
      <w:r w:rsidRPr="00A80EDE">
        <w:br w:type="page"/>
      </w:r>
    </w:p>
    <w:p w14:paraId="23D765C4" w14:textId="77777777" w:rsidR="00A420EC" w:rsidRPr="00A80EDE" w:rsidRDefault="0091600E" w:rsidP="00A80EDE">
      <w:pPr>
        <w:pStyle w:val="Titlu1"/>
        <w:suppressAutoHyphens/>
        <w:rPr>
          <w:rFonts w:hint="eastAsia"/>
        </w:rPr>
      </w:pPr>
      <w:bookmarkStart w:id="6" w:name="_Toc216119105"/>
      <w:r w:rsidRPr="00A80EDE">
        <w:lastRenderedPageBreak/>
        <w:t xml:space="preserve">Executive summary </w:t>
      </w:r>
      <w:bookmarkEnd w:id="6"/>
    </w:p>
    <w:p w14:paraId="1967DF7B" w14:textId="5B77F25E" w:rsidR="00A420EC" w:rsidRPr="00A80EDE" w:rsidRDefault="0091600E" w:rsidP="00A80EDE">
      <w:pPr>
        <w:suppressAutoHyphens/>
      </w:pPr>
      <w:r w:rsidRPr="00A80EDE">
        <w:t>The thematic evaluation on the implementation system of the Centre Region Programme (</w:t>
      </w:r>
      <w:r w:rsidR="00041CE0" w:rsidRPr="00A80EDE">
        <w:t xml:space="preserve">PR </w:t>
      </w:r>
      <w:r w:rsidR="00620B46" w:rsidRPr="00A80EDE">
        <w:t>for the Central Region</w:t>
      </w:r>
      <w:r w:rsidRPr="00A80EDE">
        <w:t xml:space="preserve">) 2021–2027 was carried out </w:t>
      </w:r>
      <w:r w:rsidRPr="00A80EDE">
        <w:rPr>
          <w:b/>
        </w:rPr>
        <w:t>in a new institutional context for Romania</w:t>
      </w:r>
      <w:r w:rsidRPr="00A80EDE">
        <w:t xml:space="preserve">, in which the functions of Managing Authority were transferred for the first time at regional level. The evaluation examines how institutional, operational and procedural arrangements work in practice within a decentralised system, analysing both the administrative processes and capacity of the AM and the funding beneficiaries, as well as the relationships with central structures, regional partners and beneficiaries. </w:t>
      </w:r>
    </w:p>
    <w:p w14:paraId="40F52BE7" w14:textId="27B3DDBE" w:rsidR="00A420EC" w:rsidRPr="00A80EDE" w:rsidRDefault="0091600E" w:rsidP="00A80EDE">
      <w:pPr>
        <w:suppressAutoHyphens/>
      </w:pPr>
      <w:r w:rsidRPr="00A80EDE">
        <w:t xml:space="preserve">The implementation system of the PR Center is analyzed as </w:t>
      </w:r>
      <w:r w:rsidRPr="00A80EDE">
        <w:rPr>
          <w:b/>
        </w:rPr>
        <w:t>a whole - processes, structures, resources, institutional relations and operational dynamics</w:t>
      </w:r>
      <w:r w:rsidR="004D4378" w:rsidRPr="00A80EDE">
        <w:t xml:space="preserve">, applying a mixed and participatory methodology, based on triangulation and the active involvement of all stakeholders. The scope includes the essential components of the management and control system, the administrative capacity of the </w:t>
      </w:r>
      <w:r w:rsidR="005A6DC5" w:rsidRPr="00A80EDE">
        <w:t xml:space="preserve">AM </w:t>
      </w:r>
      <w:r w:rsidR="004D4378" w:rsidRPr="00A80EDE">
        <w:t xml:space="preserve">and beneficiaries, the functioning of the partnership structures and the accessibility of funding mechanisms. </w:t>
      </w:r>
      <w:r w:rsidRPr="00A80EDE">
        <w:rPr>
          <w:b/>
        </w:rPr>
        <w:t>The results of the evaluation are designed</w:t>
      </w:r>
      <w:r w:rsidR="00585571" w:rsidRPr="00A80EDE">
        <w:rPr>
          <w:b/>
          <w:bCs/>
        </w:rPr>
        <w:t xml:space="preserve"> primarily for learning purposes</w:t>
      </w:r>
      <w:r w:rsidR="00A108E0" w:rsidRPr="00A80EDE">
        <w:t>, leading both to operational adjustments in the remaining period of the programme and to the transformation of the system into an adaptive, emerging and results-oriented one, in line with the new directions proposed at European level for the period 2028–2034.</w:t>
      </w:r>
    </w:p>
    <w:p w14:paraId="18A21BEE" w14:textId="3A4E9319" w:rsidR="00A420EC" w:rsidRPr="00A80EDE" w:rsidRDefault="0091600E" w:rsidP="00A80EDE">
      <w:pPr>
        <w:suppressAutoHyphens/>
      </w:pPr>
      <w:r w:rsidRPr="00A80EDE">
        <w:rPr>
          <w:b/>
        </w:rPr>
        <w:t>The evaluation methodology</w:t>
      </w:r>
      <w:r w:rsidRPr="00A80EDE">
        <w:t xml:space="preserve"> was distinguished by a solid combination of analytical rigor and active participation, using a mixed design that coherently integrated desk review, interviews, focus groups, exhaustive surveys and case studies. The systematic triangulation of these sources ensured the robustness of the conclusions, and the participatory component, which involved </w:t>
      </w:r>
      <w:r w:rsidR="005A6DC5" w:rsidRPr="00A80EDE">
        <w:t xml:space="preserve">AM </w:t>
      </w:r>
      <w:r w:rsidRPr="00A80EDE">
        <w:t xml:space="preserve">staff, beneficiaries, institutional partners and regional actors, allowed the analysis not only of the performance of the system, but also of different perspectives on emerging challenges and solutions. The methodology supported institutional learning, facilitated the identification of the root causes of problems.  </w:t>
      </w:r>
    </w:p>
    <w:p w14:paraId="7BA3D63E" w14:textId="26691038" w:rsidR="008275EB" w:rsidRPr="00A80EDE" w:rsidRDefault="00DA6315" w:rsidP="00A80EDE">
      <w:pPr>
        <w:suppressAutoHyphens/>
        <w:rPr>
          <w:b/>
        </w:rPr>
      </w:pPr>
      <w:r w:rsidRPr="00A80EDE">
        <w:rPr>
          <w:b/>
        </w:rPr>
        <w:t>Findings and conclusions of the evaluation</w:t>
      </w:r>
    </w:p>
    <w:p w14:paraId="1E16393A" w14:textId="07352923" w:rsidR="00A420EC" w:rsidRPr="00A80EDE" w:rsidRDefault="0091600E" w:rsidP="00A80EDE">
      <w:pPr>
        <w:suppressAutoHyphens/>
        <w:rPr>
          <w:bCs/>
        </w:rPr>
      </w:pPr>
      <w:r w:rsidRPr="00A80EDE">
        <w:rPr>
          <w:rFonts w:eastAsia="MS Gothic"/>
          <w:bCs/>
          <w:color w:val="0070C0"/>
        </w:rPr>
        <w:t xml:space="preserve">The institutional </w:t>
      </w:r>
      <w:r w:rsidRPr="00A80EDE">
        <w:rPr>
          <w:bCs/>
        </w:rPr>
        <w:t xml:space="preserve">and organizational responsibilities of AM PR Centre are, as a whole, clearly defined, well understood and effectively implemented at the level of </w:t>
      </w:r>
      <w:r w:rsidR="005A6DC5" w:rsidRPr="00A80EDE">
        <w:rPr>
          <w:bCs/>
        </w:rPr>
        <w:t xml:space="preserve">ADR </w:t>
      </w:r>
      <w:r w:rsidRPr="00A80EDE">
        <w:rPr>
          <w:bCs/>
        </w:rPr>
        <w:t xml:space="preserve">Centre. The evaluation shows that, in practice, responsibilities are consistently assumed due to the experience gained, direct involvement in the development of procedures and the progressive strengthening of internal structures. The evaluation, contracting, monitoring and verification processes are applied in a coherent manner, and the proximity of the decision at the regional level has contributed to strengthening the relations with the beneficiaries, relations already established in previous programs when the </w:t>
      </w:r>
      <w:r w:rsidR="00F94785" w:rsidRPr="00A80EDE">
        <w:rPr>
          <w:bCs/>
        </w:rPr>
        <w:t xml:space="preserve">ADR Centre </w:t>
      </w:r>
      <w:r w:rsidRPr="00A80EDE">
        <w:rPr>
          <w:bCs/>
        </w:rPr>
        <w:t xml:space="preserve">had the role of intermediate body for the regional program. </w:t>
      </w:r>
    </w:p>
    <w:p w14:paraId="69E9C63E" w14:textId="75D50AF3" w:rsidR="00D453E8" w:rsidRPr="00A80EDE" w:rsidRDefault="00D453E8" w:rsidP="00A80EDE">
      <w:pPr>
        <w:suppressAutoHyphens/>
      </w:pPr>
      <w:r w:rsidRPr="00A80EDE">
        <w:rPr>
          <w:color w:val="0070C0"/>
        </w:rPr>
        <w:t>The partnership structures are well-established and representative,</w:t>
      </w:r>
      <w:r w:rsidRPr="00A80EDE">
        <w:t xml:space="preserve"> and the </w:t>
      </w:r>
      <w:r w:rsidR="005A6DC5" w:rsidRPr="00A80EDE">
        <w:t>AM</w:t>
      </w:r>
      <w:r w:rsidRPr="00A80EDE">
        <w:t xml:space="preserve"> makes constant efforts to improve communication and involvement. Participation </w:t>
      </w:r>
      <w:r w:rsidR="0064166B" w:rsidRPr="00A80EDE">
        <w:t>is</w:t>
      </w:r>
      <w:r w:rsidRPr="00A80EDE">
        <w:t xml:space="preserve"> uneven, public actors are more active, while the business environment and civil society perceive participation as demanding and with limited influence on the decisions of the programme, stimulating participation being a further challenge for </w:t>
      </w:r>
      <w:r w:rsidR="005A6DC5" w:rsidRPr="00A80EDE">
        <w:t>AM</w:t>
      </w:r>
      <w:r w:rsidRPr="00A80EDE">
        <w:t>.</w:t>
      </w:r>
    </w:p>
    <w:p w14:paraId="03090C22" w14:textId="77777777" w:rsidR="000732DE" w:rsidRPr="00A80EDE" w:rsidRDefault="0091600E" w:rsidP="00A80EDE">
      <w:pPr>
        <w:suppressAutoHyphens/>
        <w:rPr>
          <w:bCs/>
        </w:rPr>
      </w:pPr>
      <w:r w:rsidRPr="00A80EDE">
        <w:rPr>
          <w:rFonts w:eastAsia="MS Gothic"/>
          <w:bCs/>
          <w:color w:val="0070C0"/>
        </w:rPr>
        <w:t xml:space="preserve">Decentralisation has had a significant positive impact </w:t>
      </w:r>
      <w:r w:rsidRPr="00A80EDE">
        <w:rPr>
          <w:bCs/>
        </w:rPr>
        <w:t xml:space="preserve">on the programme's ability to adapt to the needs of the region, especially at the operational level and in relation to beneficiaries. The decision at regional level allowed the calibration of calls and procedures to local realities. </w:t>
      </w:r>
    </w:p>
    <w:p w14:paraId="3096DB62" w14:textId="06B5ABC9" w:rsidR="00A420EC" w:rsidRPr="00A80EDE" w:rsidRDefault="000732DE" w:rsidP="00A80EDE">
      <w:pPr>
        <w:suppressAutoHyphens/>
      </w:pPr>
      <w:r w:rsidRPr="00A80EDE">
        <w:t xml:space="preserve">The fact that the Managing Authority is part of the Centre Regional Development Agency has allowed </w:t>
      </w:r>
      <w:r w:rsidR="00BF45C8" w:rsidRPr="00A80EDE">
        <w:rPr>
          <w:bCs/>
          <w:color w:val="0070C0"/>
        </w:rPr>
        <w:t>the capitalization of multiple synergies</w:t>
      </w:r>
      <w:r w:rsidR="003509CB" w:rsidRPr="00A80EDE">
        <w:t xml:space="preserve">, including: the credibility of the </w:t>
      </w:r>
      <w:r w:rsidR="00265A17" w:rsidRPr="00A80EDE">
        <w:t xml:space="preserve">ADR </w:t>
      </w:r>
      <w:r w:rsidR="003509CB" w:rsidRPr="00A80EDE">
        <w:t xml:space="preserve">arising from the good reputation as the main financier of regional development in the region taken over by the </w:t>
      </w:r>
      <w:r w:rsidR="005A6DC5" w:rsidRPr="00A80EDE">
        <w:t>AM</w:t>
      </w:r>
      <w:r w:rsidR="003509CB" w:rsidRPr="00A80EDE">
        <w:t xml:space="preserve">, institutional efficiency through the transfer of competences or their shared use in common processes (analysis of regional needs, feedback from regional actors, joint teams in planning and scheduling processes). The effects of these synergies are found in the adaptation of the program to the specifics of regional needs, quick access to feedback from regional actors, greater coherence with other funding programs in the region for which ADR plays the role of </w:t>
      </w:r>
      <w:r w:rsidR="00041CE0" w:rsidRPr="00A80EDE">
        <w:t>OI</w:t>
      </w:r>
      <w:r w:rsidR="003509CB" w:rsidRPr="00A80EDE">
        <w:t xml:space="preserve">. </w:t>
      </w:r>
    </w:p>
    <w:p w14:paraId="266AFD8B" w14:textId="03E5BFDE" w:rsidR="00A420EC" w:rsidRPr="00A80EDE" w:rsidRDefault="00D453E8" w:rsidP="00A80EDE">
      <w:pPr>
        <w:suppressAutoHyphens/>
      </w:pPr>
      <w:r w:rsidRPr="00A80EDE">
        <w:rPr>
          <w:color w:val="0070C0"/>
        </w:rPr>
        <w:lastRenderedPageBreak/>
        <w:t xml:space="preserve">The strategic adaptation of the programme </w:t>
      </w:r>
      <w:r w:rsidR="0091600E" w:rsidRPr="00A80EDE">
        <w:t xml:space="preserve">is limited by the funding framework of the EU Regulations with policy objectives, specific objectives and funding quotas that leave little flexibility at the level of the programme structure to focus </w:t>
      </w:r>
      <w:r w:rsidR="0064166B" w:rsidRPr="00A80EDE">
        <w:t>intervention</w:t>
      </w:r>
      <w:r w:rsidR="0091600E" w:rsidRPr="00A80EDE">
        <w:t xml:space="preserve"> on certain needs. As </w:t>
      </w:r>
      <w:r w:rsidR="0064166B" w:rsidRPr="00A80EDE">
        <w:t>the first</w:t>
      </w:r>
      <w:r w:rsidR="0091600E" w:rsidRPr="00A80EDE">
        <w:t xml:space="preserve"> programming exercise started late, the regulatory framework had the advantage of providing a similar orientation to the previous regional programme.</w:t>
      </w:r>
    </w:p>
    <w:p w14:paraId="718D8726" w14:textId="77777777" w:rsidR="00A420EC" w:rsidRPr="00A80EDE" w:rsidRDefault="0091600E" w:rsidP="00A80EDE">
      <w:pPr>
        <w:suppressAutoHyphens/>
      </w:pPr>
      <w:r w:rsidRPr="00A80EDE">
        <w:rPr>
          <w:rFonts w:eastAsia="MS Gothic"/>
          <w:bCs/>
          <w:color w:val="0070C0"/>
        </w:rPr>
        <w:t xml:space="preserve">The regulatory framework </w:t>
      </w:r>
      <w:r w:rsidRPr="00A80EDE">
        <w:rPr>
          <w:bCs/>
        </w:rPr>
        <w:t xml:space="preserve">formally supports the functioning of the programme, but its complexity and instability limit the efficiency of implementation. </w:t>
      </w:r>
      <w:r w:rsidRPr="00A80EDE">
        <w:t>Frequent legislative changes, overlapping regulations and non-unitary interpretations between central institutions generate uncertainty for both MAs and beneficiaries. Public procurement, in particular, functions as a critical node of constraints, affecting the quality of projects and the pace of implementation.</w:t>
      </w:r>
    </w:p>
    <w:p w14:paraId="5D86ABD9" w14:textId="7E36C8EC" w:rsidR="00A420EC" w:rsidRPr="00A80EDE" w:rsidRDefault="004E6733" w:rsidP="00A80EDE">
      <w:pPr>
        <w:suppressAutoHyphens/>
      </w:pPr>
      <w:r w:rsidRPr="00A80EDE">
        <w:t>The managing authority has assumed the objective of simplification, with actions and efforts both in terms of implementation processes and the introduction of simplified cost options. Although there are simplification efforts, they have produced limited results in the absence of a sufficiently clear and credible regulatory framework without the uncertainty of interpretations that could lead to subsequent corrections.</w:t>
      </w:r>
    </w:p>
    <w:p w14:paraId="12D73D0D" w14:textId="239482C0" w:rsidR="00F06E11" w:rsidRPr="00A80EDE" w:rsidRDefault="0091600E" w:rsidP="00A80EDE">
      <w:pPr>
        <w:suppressAutoHyphens/>
      </w:pPr>
      <w:r w:rsidRPr="00A80EDE">
        <w:rPr>
          <w:rFonts w:eastAsia="MS Gothic"/>
          <w:bCs/>
          <w:color w:val="0070C0"/>
        </w:rPr>
        <w:t xml:space="preserve">The administrative resources of AM PR Center </w:t>
      </w:r>
      <w:r w:rsidRPr="00A80EDE">
        <w:t>support the implementation of the program, the financing is provided through the priority of technical assistance for the functioning of the responsible structures, for the development of administrative capacity. The main challenges relate to ensuring human resources in the conditions of a limited supply of specific skills on the labor market, adapting the availability of personnel to the variable workload on certain positions during the phases and stages of implementation. The managing authority has very well managed to implement a rotation of staff on functions with variable load and practical training on the job.</w:t>
      </w:r>
    </w:p>
    <w:p w14:paraId="27B0743A" w14:textId="7A513F6F" w:rsidR="00A420EC" w:rsidRPr="00A80EDE" w:rsidRDefault="0091600E" w:rsidP="00A80EDE">
      <w:pPr>
        <w:suppressAutoHyphens/>
      </w:pPr>
      <w:r w:rsidRPr="00A80EDE">
        <w:rPr>
          <w:rFonts w:eastAsia="MS Gothic"/>
          <w:bCs/>
          <w:color w:val="0070C0"/>
        </w:rPr>
        <w:t xml:space="preserve">Operational procedures </w:t>
      </w:r>
      <w:r w:rsidRPr="00A80EDE">
        <w:rPr>
          <w:bCs/>
        </w:rPr>
        <w:t xml:space="preserve">contribute to </w:t>
      </w:r>
      <w:r w:rsidR="0064166B" w:rsidRPr="00A80EDE">
        <w:rPr>
          <w:bCs/>
        </w:rPr>
        <w:t>coherent</w:t>
      </w:r>
      <w:r w:rsidRPr="00A80EDE">
        <w:rPr>
          <w:bCs/>
        </w:rPr>
        <w:t xml:space="preserve"> implementation, but do not yet generate genuine simplification for MAs and beneficiaries.</w:t>
      </w:r>
      <w:r w:rsidRPr="00A80EDE">
        <w:t xml:space="preserve"> The current system works procedurally correctly, but the administrative burden is perceived by all actors involved as very high. This is generated by the high volume of regulations, the large number of calls for projects, thick documentation with elements that do not contribute to the quality of the projects or results, a rigid MySMIS system that cannot be adapted to each call, sometimes doubling the effort of uploading the same documents in different sections. </w:t>
      </w:r>
    </w:p>
    <w:p w14:paraId="6B262B68" w14:textId="0B3FF612" w:rsidR="00DD3B28" w:rsidRPr="00A80EDE" w:rsidRDefault="0091600E" w:rsidP="00A80EDE">
      <w:pPr>
        <w:suppressAutoHyphens/>
      </w:pPr>
      <w:r w:rsidRPr="00A80EDE">
        <w:t xml:space="preserve">Decentralization strengthened </w:t>
      </w:r>
      <w:r w:rsidRPr="00A80EDE">
        <w:rPr>
          <w:rFonts w:eastAsia="MS Gothic"/>
          <w:color w:val="0070C0"/>
        </w:rPr>
        <w:t xml:space="preserve">the operational capacity of the </w:t>
      </w:r>
      <w:r w:rsidR="005A6DC5" w:rsidRPr="00A80EDE">
        <w:rPr>
          <w:rFonts w:eastAsia="MS Gothic"/>
          <w:color w:val="0070C0"/>
        </w:rPr>
        <w:t xml:space="preserve">AM </w:t>
      </w:r>
      <w:r w:rsidRPr="00A80EDE">
        <w:t xml:space="preserve">and contributed to a functional rapprochement with the beneficiaries, with positive effects on strengthening their capacity to access funds and implement projects financed through PR Center. In general, municipalities have built strong teams to manage European funds and use, where appropriate, outsourced services, while small towns and municipalities depend more on external consultants. </w:t>
      </w:r>
    </w:p>
    <w:p w14:paraId="1B58643D" w14:textId="2FCFD7F2" w:rsidR="00A420EC" w:rsidRPr="00A80EDE" w:rsidRDefault="00C732E8" w:rsidP="00A80EDE">
      <w:pPr>
        <w:suppressAutoHyphens/>
      </w:pPr>
      <w:r w:rsidRPr="00A80EDE">
        <w:t xml:space="preserve">The main challenge facing the </w:t>
      </w:r>
      <w:r w:rsidR="005A6DC5" w:rsidRPr="00A80EDE">
        <w:t xml:space="preserve">AM </w:t>
      </w:r>
      <w:r w:rsidRPr="00A80EDE">
        <w:t xml:space="preserve">lies in the </w:t>
      </w:r>
      <w:r w:rsidRPr="00A80EDE">
        <w:rPr>
          <w:color w:val="0070C0"/>
        </w:rPr>
        <w:t xml:space="preserve">insufficient administrative capacity </w:t>
      </w:r>
      <w:r w:rsidR="003135D2" w:rsidRPr="00A80EDE">
        <w:t xml:space="preserve">in the case of an important part of the administrative-territorial units, in terms of accessing and implementing the projects financed through the PR Center. </w:t>
      </w:r>
      <w:r w:rsidR="00157ADC" w:rsidRPr="00A80EDE">
        <w:rPr>
          <w:color w:val="0070C0"/>
        </w:rPr>
        <w:t>Small and medium-sized towns and municipalities face structural limitations</w:t>
      </w:r>
      <w:r w:rsidR="00157ADC" w:rsidRPr="00A80EDE">
        <w:t xml:space="preserve">: reduced teams and difficulties in hiring specialists such as engineers and urban planners affecting the ability to perform essential economic and social development functions, which should support project teams at all stages of the intervention cycle. This affects access to timely financing but also the quality of projects and indicates the need for long-term investment in the capacity of </w:t>
      </w:r>
      <w:r w:rsidR="00F94785" w:rsidRPr="00A80EDE">
        <w:t>UAT</w:t>
      </w:r>
      <w:r w:rsidR="00157ADC" w:rsidRPr="00A80EDE">
        <w:t>s, especially small and medium-sized towns and municipalities.</w:t>
      </w:r>
    </w:p>
    <w:p w14:paraId="290A3D05" w14:textId="4C9E602E" w:rsidR="00A420EC" w:rsidRPr="00A80EDE" w:rsidRDefault="0091600E" w:rsidP="00A80EDE">
      <w:pPr>
        <w:suppressAutoHyphens/>
      </w:pPr>
      <w:r w:rsidRPr="00A80EDE">
        <w:rPr>
          <w:rFonts w:eastAsia="MS Gothic"/>
          <w:bCs/>
          <w:color w:val="0070C0"/>
        </w:rPr>
        <w:t xml:space="preserve">The accessibility of funds </w:t>
      </w:r>
      <w:r w:rsidRPr="00A80EDE">
        <w:t>has increased significantly due to decentralisation, proximity to AM and improved guidelines, but access remains a challenge given the simultaneous existence of a large number of active funding opportunities from other sources, in particular for local authorities. The large number of calls for projects, voluminous documentation, complex procurement and unpredictable timeline constitute barriers for actors with lower capacity. In addition, the lack of integrated strategic support limits the ability to formulate relevant complementary projects with the potential to generate impact.</w:t>
      </w:r>
    </w:p>
    <w:p w14:paraId="08D3BFE3" w14:textId="59FC7FB8" w:rsidR="00A420EC" w:rsidRPr="00A80EDE" w:rsidRDefault="008703A9" w:rsidP="00A80EDE">
      <w:pPr>
        <w:suppressAutoHyphens/>
      </w:pPr>
      <w:r w:rsidRPr="00A80EDE">
        <w:rPr>
          <w:rFonts w:eastAsia="MS Gothic"/>
          <w:color w:val="0070C0"/>
        </w:rPr>
        <w:t xml:space="preserve">The </w:t>
      </w:r>
      <w:r w:rsidR="00F94785" w:rsidRPr="00A80EDE">
        <w:rPr>
          <w:rFonts w:eastAsia="MS Gothic"/>
          <w:color w:val="0070C0"/>
        </w:rPr>
        <w:t xml:space="preserve">ADR Centre </w:t>
      </w:r>
      <w:r w:rsidRPr="00A80EDE">
        <w:rPr>
          <w:rFonts w:eastAsia="MS Gothic"/>
          <w:color w:val="0070C0"/>
        </w:rPr>
        <w:t>is a strategic facilitator of regional development</w:t>
      </w:r>
      <w:r w:rsidR="0064166B" w:rsidRPr="00A80EDE">
        <w:rPr>
          <w:rFonts w:eastAsia="MS Gothic"/>
          <w:color w:val="0070C0"/>
        </w:rPr>
        <w:t>. This</w:t>
      </w:r>
      <w:r w:rsidRPr="00A80EDE">
        <w:rPr>
          <w:rFonts w:eastAsia="MS Gothic"/>
        </w:rPr>
        <w:t xml:space="preserve"> role is strengthened in terms of developing administrative capacity in the region by taking actions, now possible as a managing authority at </w:t>
      </w:r>
      <w:r w:rsidRPr="00A80EDE">
        <w:rPr>
          <w:rFonts w:eastAsia="MS Gothic"/>
        </w:rPr>
        <w:lastRenderedPageBreak/>
        <w:t xml:space="preserve">regional level. </w:t>
      </w:r>
      <w:r w:rsidR="0091600E" w:rsidRPr="00A80EDE">
        <w:rPr>
          <w:rFonts w:eastAsia="MS Gothic"/>
          <w:color w:val="0070C0"/>
        </w:rPr>
        <w:t xml:space="preserve">The Roadmap for Strengthening Administrative Capacity </w:t>
      </w:r>
      <w:r w:rsidR="0091600E" w:rsidRPr="00A80EDE">
        <w:t>represents a major step forward in addressing the development of administrative capacity as a long-term strategic process, capable of influencing the evolution of the entire regional ecosystem. This represents an essential favorable premise for the preparation for the period 2028–2034, a period that announces the possibility of a profound transformation of the implementation system through the guidelines announced by the proposals for regulations specifying: orientation towards results and impact, integrated digitalization, audit proportional to risk and regional flexibility in defining interventions.</w:t>
      </w:r>
    </w:p>
    <w:p w14:paraId="2A76FE93" w14:textId="674DEAE6" w:rsidR="004E6BFD" w:rsidRPr="00A80EDE" w:rsidRDefault="00EA5F1B" w:rsidP="00A80EDE">
      <w:pPr>
        <w:suppressAutoHyphens/>
        <w:rPr>
          <w:b/>
          <w:bCs/>
        </w:rPr>
      </w:pPr>
      <w:r w:rsidRPr="00A80EDE">
        <w:rPr>
          <w:b/>
          <w:bCs/>
        </w:rPr>
        <w:t>Recommendations</w:t>
      </w:r>
    </w:p>
    <w:p w14:paraId="7E3A911B" w14:textId="5F3DDBBF" w:rsidR="00BA12BC" w:rsidRPr="00A80EDE" w:rsidRDefault="005809DF" w:rsidP="00A80EDE">
      <w:pPr>
        <w:suppressAutoHyphens/>
        <w:autoSpaceDN w:val="0"/>
        <w:spacing w:before="0" w:after="160" w:line="256" w:lineRule="auto"/>
      </w:pPr>
      <w:r w:rsidRPr="00A80EDE">
        <w:t xml:space="preserve">It is recommended </w:t>
      </w:r>
      <w:r w:rsidRPr="00A80EDE">
        <w:rPr>
          <w:color w:val="0070C0"/>
        </w:rPr>
        <w:t xml:space="preserve">to continue administrative simplification </w:t>
      </w:r>
      <w:r w:rsidRPr="00A80EDE">
        <w:t>by revising the evaluation guides and grids, eliminating criteria without added value, automating standardizable criteria and moving them to the digitized pre-calculation stage. Improving MySMIS is essential to reduce duplication of documents and introduce useful functionalities such as interoperability, disabling non-relevant fields for calls</w:t>
      </w:r>
      <w:r w:rsidR="0064166B" w:rsidRPr="00A80EDE">
        <w:t>, and harmonizing</w:t>
      </w:r>
      <w:r w:rsidRPr="00A80EDE">
        <w:t xml:space="preserve"> beneficiary interfaces with those of the </w:t>
      </w:r>
      <w:r w:rsidR="00265A17" w:rsidRPr="00A80EDE">
        <w:t>AM.</w:t>
      </w:r>
    </w:p>
    <w:p w14:paraId="3FA424AC" w14:textId="026432DC" w:rsidR="005809DF" w:rsidRPr="00A80EDE" w:rsidRDefault="003E6790" w:rsidP="00A80EDE">
      <w:pPr>
        <w:suppressAutoHyphens/>
        <w:autoSpaceDN w:val="0"/>
        <w:spacing w:before="0" w:after="160" w:line="256" w:lineRule="auto"/>
      </w:pPr>
      <w:r w:rsidRPr="00A80EDE">
        <w:t xml:space="preserve">It is recommended </w:t>
      </w:r>
      <w:r w:rsidRPr="00A80EDE">
        <w:rPr>
          <w:color w:val="0070C0"/>
        </w:rPr>
        <w:t xml:space="preserve">to review and continue the implementation of the Roadmap </w:t>
      </w:r>
      <w:r w:rsidR="0064166B" w:rsidRPr="00A80EDE">
        <w:t>to strengthen</w:t>
      </w:r>
      <w:r w:rsidR="00F57E1C" w:rsidRPr="00A80EDE">
        <w:t xml:space="preserve"> the administrative capacity of the Centre Region - Phase II. At this stage, it is recommended to build an </w:t>
      </w:r>
      <w:r w:rsidRPr="00A80EDE">
        <w:rPr>
          <w:color w:val="0070C0"/>
        </w:rPr>
        <w:t>adaptive and emerging implementation system</w:t>
      </w:r>
      <w:r w:rsidRPr="00A80EDE">
        <w:t xml:space="preserve">, by developing the competencies of the AM staff and </w:t>
      </w:r>
      <w:r w:rsidR="00F94785" w:rsidRPr="00A80EDE">
        <w:t>UAT</w:t>
      </w:r>
      <w:r w:rsidRPr="00A80EDE">
        <w:t xml:space="preserve">s (continuous training, adaptive leadership, digitalization) and by strengthening both the quality of the integrated strategies and the financing of projects in an integrated approach, correlated with these strategies and strengthening the role of the </w:t>
      </w:r>
      <w:r w:rsidR="005A6DC5" w:rsidRPr="00A80EDE">
        <w:t xml:space="preserve">AM </w:t>
      </w:r>
      <w:r w:rsidRPr="00A80EDE">
        <w:t xml:space="preserve">as a strategic facilitator, with integrated services and efficient coordination mechanisms and feedback. </w:t>
      </w:r>
    </w:p>
    <w:p w14:paraId="5B808D52" w14:textId="4CEC6957" w:rsidR="005F73AE" w:rsidRPr="00A80EDE" w:rsidRDefault="005F73AE" w:rsidP="00A80EDE">
      <w:pPr>
        <w:suppressAutoHyphens/>
        <w:autoSpaceDN w:val="0"/>
        <w:spacing w:before="0" w:after="160" w:line="256" w:lineRule="auto"/>
      </w:pPr>
      <w:r w:rsidRPr="00A80EDE">
        <w:t xml:space="preserve">In order to ensure the impact of interventions and the adoption of results-oriented mechanisms, it is recommended </w:t>
      </w:r>
      <w:r w:rsidRPr="00A80EDE">
        <w:rPr>
          <w:color w:val="0070C0"/>
        </w:rPr>
        <w:t xml:space="preserve">to strengthen the capacity of </w:t>
      </w:r>
      <w:r w:rsidR="00F94785" w:rsidRPr="00A80EDE">
        <w:rPr>
          <w:color w:val="0070C0"/>
        </w:rPr>
        <w:t>UAT</w:t>
      </w:r>
      <w:r w:rsidRPr="00A80EDE">
        <w:rPr>
          <w:color w:val="0070C0"/>
        </w:rPr>
        <w:t>s by continuing to support the development of integrated development strategies</w:t>
      </w:r>
      <w:r w:rsidRPr="00A80EDE">
        <w:t xml:space="preserve"> and for the development of the capacity of inter-community associations, both in planning and in the implementation of project portfolios.</w:t>
      </w:r>
    </w:p>
    <w:p w14:paraId="08FE544C" w14:textId="6B5C8833" w:rsidR="00F17A8A" w:rsidRPr="00A80EDE" w:rsidRDefault="00F17A8A" w:rsidP="00A80EDE">
      <w:pPr>
        <w:suppressAutoHyphens/>
        <w:autoSpaceDN w:val="0"/>
        <w:spacing w:before="0" w:after="160" w:line="256" w:lineRule="auto"/>
      </w:pPr>
      <w:r w:rsidRPr="00A80EDE">
        <w:t xml:space="preserve">In order to stimulate the participation of all partners and strengthen the sense of ownership of the program, the partnership must be transformed from an endorsement exercise into a </w:t>
      </w:r>
      <w:r w:rsidRPr="00A80EDE">
        <w:rPr>
          <w:color w:val="0070C0"/>
        </w:rPr>
        <w:t>genuine co-creation process</w:t>
      </w:r>
      <w:r w:rsidRPr="00A80EDE">
        <w:t xml:space="preserve">. This implies the continuation of the proven efforts of the </w:t>
      </w:r>
      <w:r w:rsidR="005A6DC5" w:rsidRPr="00A80EDE">
        <w:t xml:space="preserve">AM </w:t>
      </w:r>
      <w:r w:rsidRPr="00A80EDE">
        <w:t xml:space="preserve">in adapting the materials, differentiated by categories of actors, the holding of attractive thematic sessions, the use of digital platforms for asynchronous contributions and transparent feedback mechanisms with traceability, but also </w:t>
      </w:r>
      <w:r w:rsidR="00DA1F20" w:rsidRPr="00A80EDE">
        <w:rPr>
          <w:color w:val="0070C0"/>
        </w:rPr>
        <w:t xml:space="preserve">a more proactive involvement of the partners, by aggregating their positions, using local evidence and capitalizing on practical </w:t>
      </w:r>
      <w:r w:rsidR="00DA1F20" w:rsidRPr="00A80EDE">
        <w:t xml:space="preserve">experiences. Dual responsibility – facilitation from the </w:t>
      </w:r>
      <w:r w:rsidR="005A6DC5" w:rsidRPr="00A80EDE">
        <w:t xml:space="preserve">AM </w:t>
      </w:r>
      <w:r w:rsidR="00DA1F20" w:rsidRPr="00A80EDE">
        <w:t xml:space="preserve">and substantial contribution from the partners – can transform the partnership into an inclusive, representative and solution-oriented framework for the future programme. These changes are conditional </w:t>
      </w:r>
      <w:r w:rsidR="0064166B" w:rsidRPr="00A80EDE">
        <w:t>in</w:t>
      </w:r>
      <w:r w:rsidR="00DA1F20" w:rsidRPr="00A80EDE">
        <w:t xml:space="preserve"> a </w:t>
      </w:r>
      <w:r w:rsidR="007E13C9" w:rsidRPr="00A80EDE">
        <w:rPr>
          <w:color w:val="0070C0"/>
        </w:rPr>
        <w:t xml:space="preserve">regulatory framework that can provide more flexibility at the regional level </w:t>
      </w:r>
      <w:r w:rsidR="0099018B" w:rsidRPr="00A80EDE">
        <w:t>regarding the structure of the programme and the modalities of implementation.</w:t>
      </w:r>
    </w:p>
    <w:p w14:paraId="2C298B9B" w14:textId="028BFF83" w:rsidR="0099018B" w:rsidRPr="00A80EDE" w:rsidRDefault="001A7084" w:rsidP="00A80EDE">
      <w:pPr>
        <w:suppressAutoHyphens/>
        <w:autoSpaceDN w:val="0"/>
        <w:spacing w:before="0" w:after="160" w:line="256" w:lineRule="auto"/>
        <w:rPr>
          <w:color w:val="0070C0"/>
        </w:rPr>
      </w:pPr>
      <w:r w:rsidRPr="00A80EDE">
        <w:t xml:space="preserve">ADR and </w:t>
      </w:r>
      <w:r w:rsidR="005A6DC5" w:rsidRPr="00A80EDE">
        <w:t xml:space="preserve">AM </w:t>
      </w:r>
      <w:r w:rsidRPr="00A80EDE">
        <w:t xml:space="preserve">PR Centre cannot on their own eliminate the constraints generated by the regulatory framework external to the Programme, which affect essential aspects such as: public procurement, non-unitary interpretations of the central institutions on the application of regulations in specific situations, the detailed and rigid funding framework (from the Cohesion Policy Regulations to the national implementing legislation) and a control system predominantly oriented towards processes and expenditures. In this context, for the 2026–2029 phase, it is recommended to: participate in the formulation of common positions of regional </w:t>
      </w:r>
      <w:r w:rsidR="005A6DC5" w:rsidRPr="00A80EDE">
        <w:t>AMs</w:t>
      </w:r>
      <w:r w:rsidRPr="00A80EDE">
        <w:t xml:space="preserve">; structured and continuous dialogue with MIPE, ANAP, AA and ACP; advocacy for </w:t>
      </w:r>
      <w:r w:rsidRPr="00A80EDE">
        <w:rPr>
          <w:color w:val="0070C0"/>
        </w:rPr>
        <w:t>regional flexibility and performance-based tools</w:t>
      </w:r>
      <w:r w:rsidRPr="00A80EDE">
        <w:t xml:space="preserve">; </w:t>
      </w:r>
      <w:r w:rsidRPr="00A80EDE">
        <w:rPr>
          <w:color w:val="0070C0"/>
        </w:rPr>
        <w:t xml:space="preserve">reducing micro-management </w:t>
      </w:r>
      <w:r w:rsidRPr="00A80EDE">
        <w:t>in programme documents, by orienting towards general objectives</w:t>
      </w:r>
      <w:r w:rsidRPr="00A80EDE">
        <w:rPr>
          <w:color w:val="0070C0"/>
        </w:rPr>
        <w:t>, without excessive norms; creating a critical mass of institutional support for the post-2027 system architecture.</w:t>
      </w:r>
    </w:p>
    <w:p w14:paraId="15005B53" w14:textId="6F3EE0F8" w:rsidR="003F1F98" w:rsidRPr="00A80EDE" w:rsidRDefault="003F1F98" w:rsidP="00A80EDE">
      <w:pPr>
        <w:suppressAutoHyphens/>
        <w:autoSpaceDN w:val="0"/>
        <w:spacing w:before="0" w:after="160" w:line="256" w:lineRule="auto"/>
      </w:pPr>
      <w:r w:rsidRPr="00A80EDE">
        <w:br w:type="page"/>
      </w:r>
    </w:p>
    <w:p w14:paraId="4DF1C503" w14:textId="77777777" w:rsidR="00A420EC" w:rsidRPr="00A80EDE" w:rsidRDefault="0091600E" w:rsidP="00A80EDE">
      <w:pPr>
        <w:pStyle w:val="Titlu1"/>
        <w:suppressAutoHyphens/>
        <w:rPr>
          <w:rFonts w:hint="eastAsia"/>
        </w:rPr>
      </w:pPr>
      <w:bookmarkStart w:id="7" w:name="_Toc207608276"/>
      <w:bookmarkStart w:id="8" w:name="_Toc216119106"/>
      <w:r w:rsidRPr="00A80EDE">
        <w:lastRenderedPageBreak/>
        <w:t>Preamble</w:t>
      </w:r>
      <w:bookmarkEnd w:id="7"/>
      <w:bookmarkEnd w:id="8"/>
    </w:p>
    <w:tbl>
      <w:tblPr>
        <w:tblW w:w="0" w:type="auto"/>
        <w:jc w:val="center"/>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1E0" w:firstRow="1" w:lastRow="1" w:firstColumn="1" w:lastColumn="1" w:noHBand="0" w:noVBand="0"/>
      </w:tblPr>
      <w:tblGrid>
        <w:gridCol w:w="2785"/>
        <w:gridCol w:w="6565"/>
      </w:tblGrid>
      <w:tr w:rsidR="00A420EC" w:rsidRPr="00A80EDE" w14:paraId="50D7E352" w14:textId="77777777" w:rsidTr="00BA3B66">
        <w:trPr>
          <w:trHeight w:val="422"/>
          <w:jc w:val="center"/>
        </w:trPr>
        <w:tc>
          <w:tcPr>
            <w:tcW w:w="2785" w:type="dxa"/>
            <w:shd w:val="clear" w:color="auto" w:fill="F2F2F2" w:themeFill="background1" w:themeFillShade="F2"/>
          </w:tcPr>
          <w:p w14:paraId="4F1FDEE7" w14:textId="77777777" w:rsidR="00A420EC" w:rsidRPr="00A80EDE" w:rsidRDefault="0091600E" w:rsidP="00A80EDE">
            <w:pPr>
              <w:pStyle w:val="TableNormal1"/>
              <w:suppressAutoHyphens/>
            </w:pPr>
            <w:r w:rsidRPr="00A80EDE">
              <w:t>Title of the service contract</w:t>
            </w:r>
          </w:p>
        </w:tc>
        <w:tc>
          <w:tcPr>
            <w:tcW w:w="6565" w:type="dxa"/>
          </w:tcPr>
          <w:p w14:paraId="14B72374" w14:textId="77777777" w:rsidR="00A420EC" w:rsidRPr="00A80EDE" w:rsidRDefault="0091600E" w:rsidP="00A80EDE">
            <w:pPr>
              <w:pStyle w:val="TableNormal1"/>
              <w:suppressAutoHyphens/>
            </w:pPr>
            <w:r w:rsidRPr="00A80EDE">
              <w:t>"Consultancy services for the evaluation of the Centre Region Programme – Phase I"</w:t>
            </w:r>
            <w:r w:rsidRPr="00A80EDE">
              <w:tab/>
            </w:r>
          </w:p>
        </w:tc>
      </w:tr>
      <w:tr w:rsidR="00A420EC" w:rsidRPr="00A80EDE" w14:paraId="77CC981F" w14:textId="77777777" w:rsidTr="00BA3B66">
        <w:trPr>
          <w:jc w:val="center"/>
        </w:trPr>
        <w:tc>
          <w:tcPr>
            <w:tcW w:w="2785" w:type="dxa"/>
            <w:shd w:val="clear" w:color="auto" w:fill="F2F2F2" w:themeFill="background1" w:themeFillShade="F2"/>
          </w:tcPr>
          <w:p w14:paraId="053893E3" w14:textId="77777777" w:rsidR="00A420EC" w:rsidRPr="00A80EDE" w:rsidRDefault="0091600E" w:rsidP="00A80EDE">
            <w:pPr>
              <w:pStyle w:val="TableNormal1"/>
              <w:suppressAutoHyphens/>
            </w:pPr>
            <w:r w:rsidRPr="00A80EDE">
              <w:t>Service contract</w:t>
            </w:r>
          </w:p>
        </w:tc>
        <w:tc>
          <w:tcPr>
            <w:tcW w:w="6565" w:type="dxa"/>
          </w:tcPr>
          <w:p w14:paraId="668E2FCC" w14:textId="77777777" w:rsidR="00A420EC" w:rsidRPr="00A80EDE" w:rsidRDefault="0091600E" w:rsidP="00A80EDE">
            <w:pPr>
              <w:pStyle w:val="TableNormal1"/>
              <w:suppressAutoHyphens/>
            </w:pPr>
            <w:r w:rsidRPr="00A80EDE">
              <w:t>993 / 1 / 14.01.2025</w:t>
            </w:r>
          </w:p>
        </w:tc>
      </w:tr>
      <w:tr w:rsidR="00A420EC" w:rsidRPr="00A80EDE" w14:paraId="4AD1924B" w14:textId="77777777" w:rsidTr="00BA3B66">
        <w:trPr>
          <w:jc w:val="center"/>
        </w:trPr>
        <w:tc>
          <w:tcPr>
            <w:tcW w:w="2785" w:type="dxa"/>
            <w:shd w:val="clear" w:color="auto" w:fill="F2F2F2" w:themeFill="background1" w:themeFillShade="F2"/>
          </w:tcPr>
          <w:p w14:paraId="7EF4D67E" w14:textId="77777777" w:rsidR="00A420EC" w:rsidRPr="00A80EDE" w:rsidRDefault="0091600E" w:rsidP="00A80EDE">
            <w:pPr>
              <w:pStyle w:val="TableNormal1"/>
              <w:suppressAutoHyphens/>
            </w:pPr>
            <w:r w:rsidRPr="00A80EDE">
              <w:t>Beneficiary</w:t>
            </w:r>
          </w:p>
        </w:tc>
        <w:tc>
          <w:tcPr>
            <w:tcW w:w="6565" w:type="dxa"/>
          </w:tcPr>
          <w:p w14:paraId="11D59C15" w14:textId="3D00BA1C" w:rsidR="00A420EC" w:rsidRPr="00A80EDE" w:rsidRDefault="0091600E" w:rsidP="00A80EDE">
            <w:pPr>
              <w:pStyle w:val="TableNormal1"/>
              <w:suppressAutoHyphens/>
            </w:pPr>
            <w:r w:rsidRPr="00A80EDE">
              <w:t>Regional Development Agency</w:t>
            </w:r>
            <w:r w:rsidR="00265A17" w:rsidRPr="00A80EDE">
              <w:t xml:space="preserve"> Centre</w:t>
            </w:r>
            <w:r w:rsidRPr="00A80EDE">
              <w:t xml:space="preserve"> (</w:t>
            </w:r>
            <w:r w:rsidR="00265A17" w:rsidRPr="00A80EDE">
              <w:t xml:space="preserve">ADR </w:t>
            </w:r>
            <w:r w:rsidRPr="00A80EDE">
              <w:t>C)</w:t>
            </w:r>
          </w:p>
        </w:tc>
      </w:tr>
      <w:tr w:rsidR="00A420EC" w:rsidRPr="00A80EDE" w14:paraId="39FA10D1" w14:textId="77777777" w:rsidTr="00BA3B66">
        <w:trPr>
          <w:jc w:val="center"/>
        </w:trPr>
        <w:tc>
          <w:tcPr>
            <w:tcW w:w="2785" w:type="dxa"/>
            <w:shd w:val="clear" w:color="auto" w:fill="F2F2F2" w:themeFill="background1" w:themeFillShade="F2"/>
          </w:tcPr>
          <w:p w14:paraId="64E617B8" w14:textId="77777777" w:rsidR="00A420EC" w:rsidRPr="00A80EDE" w:rsidRDefault="0091600E" w:rsidP="00A80EDE">
            <w:pPr>
              <w:pStyle w:val="TableNormal1"/>
              <w:suppressAutoHyphens/>
            </w:pPr>
            <w:r w:rsidRPr="00A80EDE">
              <w:t>Contracting Authority</w:t>
            </w:r>
          </w:p>
        </w:tc>
        <w:tc>
          <w:tcPr>
            <w:tcW w:w="6565" w:type="dxa"/>
          </w:tcPr>
          <w:p w14:paraId="6A28CAD4" w14:textId="2B5DFC9C" w:rsidR="00A420EC" w:rsidRPr="00A80EDE" w:rsidRDefault="0091600E" w:rsidP="00A80EDE">
            <w:pPr>
              <w:pStyle w:val="TableNormal1"/>
              <w:suppressAutoHyphens/>
            </w:pPr>
            <w:r w:rsidRPr="00A80EDE">
              <w:t>Regional Development Agency</w:t>
            </w:r>
            <w:r w:rsidR="00265A17" w:rsidRPr="00A80EDE">
              <w:t xml:space="preserve"> Centre</w:t>
            </w:r>
            <w:r w:rsidRPr="00A80EDE">
              <w:t xml:space="preserve"> (</w:t>
            </w:r>
            <w:r w:rsidR="00265A17" w:rsidRPr="00A80EDE">
              <w:t xml:space="preserve">ADR </w:t>
            </w:r>
            <w:r w:rsidRPr="00A80EDE">
              <w:t>C)</w:t>
            </w:r>
          </w:p>
        </w:tc>
      </w:tr>
      <w:tr w:rsidR="00A420EC" w:rsidRPr="00A80EDE" w14:paraId="7FBA1310" w14:textId="77777777" w:rsidTr="00BA3B66">
        <w:trPr>
          <w:jc w:val="center"/>
        </w:trPr>
        <w:tc>
          <w:tcPr>
            <w:tcW w:w="2785" w:type="dxa"/>
            <w:shd w:val="clear" w:color="auto" w:fill="F2F2F2" w:themeFill="background1" w:themeFillShade="F2"/>
          </w:tcPr>
          <w:p w14:paraId="4963E7AF" w14:textId="77777777" w:rsidR="00A420EC" w:rsidRPr="00A80EDE" w:rsidRDefault="0091600E" w:rsidP="00A80EDE">
            <w:pPr>
              <w:pStyle w:val="TableNormal1"/>
              <w:suppressAutoHyphens/>
            </w:pPr>
            <w:r w:rsidRPr="00A80EDE">
              <w:t>Contractor</w:t>
            </w:r>
          </w:p>
        </w:tc>
        <w:tc>
          <w:tcPr>
            <w:tcW w:w="6565" w:type="dxa"/>
          </w:tcPr>
          <w:p w14:paraId="18BC0289" w14:textId="77777777" w:rsidR="00A420EC" w:rsidRPr="00A80EDE" w:rsidRDefault="0091600E" w:rsidP="00A80EDE">
            <w:pPr>
              <w:pStyle w:val="TableNormal1"/>
              <w:suppressAutoHyphens/>
            </w:pPr>
            <w:r w:rsidRPr="00A80EDE">
              <w:t>The association formed by CIVITTA Strategy &amp; Consulting SA (leader) and Lideea Development Actions SRL (partner)</w:t>
            </w:r>
          </w:p>
        </w:tc>
      </w:tr>
      <w:tr w:rsidR="00A420EC" w:rsidRPr="00A80EDE" w14:paraId="53F9EE88" w14:textId="77777777" w:rsidTr="00BA3B66">
        <w:trPr>
          <w:jc w:val="center"/>
        </w:trPr>
        <w:tc>
          <w:tcPr>
            <w:tcW w:w="2785" w:type="dxa"/>
            <w:shd w:val="clear" w:color="auto" w:fill="F2F2F2" w:themeFill="background1" w:themeFillShade="F2"/>
          </w:tcPr>
          <w:p w14:paraId="207A5017" w14:textId="77777777" w:rsidR="00A420EC" w:rsidRPr="00A80EDE" w:rsidRDefault="0091600E" w:rsidP="00A80EDE">
            <w:pPr>
              <w:pStyle w:val="TableNormal1"/>
              <w:suppressAutoHyphens/>
            </w:pPr>
            <w:r w:rsidRPr="00A80EDE">
              <w:t>Start date</w:t>
            </w:r>
          </w:p>
        </w:tc>
        <w:tc>
          <w:tcPr>
            <w:tcW w:w="6565" w:type="dxa"/>
          </w:tcPr>
          <w:p w14:paraId="0F5F3ED3" w14:textId="77777777" w:rsidR="00A420EC" w:rsidRPr="00A80EDE" w:rsidRDefault="0091600E" w:rsidP="00A80EDE">
            <w:pPr>
              <w:pStyle w:val="TableNormal1"/>
              <w:suppressAutoHyphens/>
            </w:pPr>
            <w:r w:rsidRPr="00A80EDE">
              <w:t>12.02.2025</w:t>
            </w:r>
          </w:p>
        </w:tc>
      </w:tr>
      <w:tr w:rsidR="00A420EC" w:rsidRPr="00A80EDE" w14:paraId="343CE8DF" w14:textId="77777777" w:rsidTr="00BA3B66">
        <w:trPr>
          <w:jc w:val="center"/>
        </w:trPr>
        <w:tc>
          <w:tcPr>
            <w:tcW w:w="2785" w:type="dxa"/>
            <w:shd w:val="clear" w:color="auto" w:fill="F2F2F2" w:themeFill="background1" w:themeFillShade="F2"/>
          </w:tcPr>
          <w:p w14:paraId="3640B4FE" w14:textId="77777777" w:rsidR="00A420EC" w:rsidRPr="00A80EDE" w:rsidRDefault="0091600E" w:rsidP="00A80EDE">
            <w:pPr>
              <w:pStyle w:val="TableNormal1"/>
              <w:suppressAutoHyphens/>
            </w:pPr>
            <w:r w:rsidRPr="00A80EDE">
              <w:t>End date</w:t>
            </w:r>
          </w:p>
        </w:tc>
        <w:tc>
          <w:tcPr>
            <w:tcW w:w="6565" w:type="dxa"/>
          </w:tcPr>
          <w:p w14:paraId="6B6C4917" w14:textId="77777777" w:rsidR="00A420EC" w:rsidRPr="00A80EDE" w:rsidRDefault="0091600E" w:rsidP="00A80EDE">
            <w:pPr>
              <w:pStyle w:val="TableNormal1"/>
              <w:suppressAutoHyphens/>
            </w:pPr>
            <w:r w:rsidRPr="00A80EDE">
              <w:t>12.08.2027</w:t>
            </w:r>
          </w:p>
        </w:tc>
      </w:tr>
    </w:tbl>
    <w:p w14:paraId="1FBE940C" w14:textId="35D79775" w:rsidR="00A420EC" w:rsidRPr="00A80EDE" w:rsidRDefault="0091600E" w:rsidP="00A80EDE">
      <w:pPr>
        <w:pStyle w:val="Legend"/>
        <w:suppressAutoHyphens/>
      </w:pPr>
      <w:r w:rsidRPr="00A80EDE">
        <w:t>Table 1 - Summary data of the contract</w:t>
      </w:r>
    </w:p>
    <w:p w14:paraId="6D424C73" w14:textId="415D6161" w:rsidR="00A420EC" w:rsidRPr="00A80EDE" w:rsidRDefault="0091600E" w:rsidP="00A80EDE">
      <w:pPr>
        <w:pStyle w:val="Listparagraf"/>
        <w:numPr>
          <w:ilvl w:val="0"/>
          <w:numId w:val="16"/>
        </w:numPr>
        <w:suppressAutoHyphens/>
      </w:pPr>
      <w:r w:rsidRPr="00A80EDE">
        <w:t xml:space="preserve">This thematic evaluation aims </w:t>
      </w:r>
      <w:r w:rsidR="0064166B" w:rsidRPr="00A80EDE">
        <w:t xml:space="preserve">to </w:t>
      </w:r>
      <w:r w:rsidR="0064166B" w:rsidRPr="00A80EDE">
        <w:rPr>
          <w:b/>
        </w:rPr>
        <w:t>analyze</w:t>
      </w:r>
      <w:r w:rsidRPr="00A80EDE">
        <w:rPr>
          <w:b/>
        </w:rPr>
        <w:t xml:space="preserve"> the implementation system </w:t>
      </w:r>
      <w:r w:rsidRPr="00A80EDE">
        <w:t>of the Centre Region Programme (PR Centre) 2021–2027, in a context in which Romania implements for the first time the decentralised programming model, with the transfer of the functions of Managing Authority to the level of regional agencies. The evaluation aims to provide a deep understanding of how this system works in practice, how administrative and operational processes are managed, and to what extent institutional and procedural mechanisms facilitate or hinder the effective implementation of the programme.</w:t>
      </w:r>
    </w:p>
    <w:p w14:paraId="237BCB8B" w14:textId="2840DE51" w:rsidR="00A420EC" w:rsidRPr="00A80EDE" w:rsidRDefault="0091600E" w:rsidP="00A80EDE">
      <w:pPr>
        <w:pStyle w:val="Listparagraf"/>
        <w:numPr>
          <w:ilvl w:val="0"/>
          <w:numId w:val="16"/>
        </w:numPr>
        <w:suppressAutoHyphens/>
      </w:pPr>
      <w:r w:rsidRPr="00A80EDE">
        <w:t>The objectives of the evaluation are to examine</w:t>
      </w:r>
      <w:r w:rsidRPr="00A80EDE">
        <w:rPr>
          <w:b/>
        </w:rPr>
        <w:t xml:space="preserve"> the functionality, effectiveness, relevance and </w:t>
      </w:r>
      <w:r w:rsidR="0064166B" w:rsidRPr="00A80EDE">
        <w:rPr>
          <w:b/>
        </w:rPr>
        <w:t>accessibility of</w:t>
      </w:r>
      <w:r w:rsidRPr="00A80EDE">
        <w:rPr>
          <w:b/>
        </w:rPr>
        <w:t xml:space="preserve"> </w:t>
      </w:r>
      <w:r w:rsidRPr="00A80EDE">
        <w:t>the implementation system of the PR Center, based on a set of evaluation questions structured in the approved methodological matrix.</w:t>
      </w:r>
    </w:p>
    <w:p w14:paraId="5F3C5F66" w14:textId="687E7A50" w:rsidR="00A420EC" w:rsidRPr="00A80EDE" w:rsidRDefault="0091600E" w:rsidP="00A80EDE">
      <w:pPr>
        <w:pStyle w:val="Listparagraf"/>
        <w:numPr>
          <w:ilvl w:val="0"/>
          <w:numId w:val="16"/>
        </w:numPr>
        <w:suppressAutoHyphens/>
      </w:pPr>
      <w:r w:rsidRPr="00A80EDE">
        <w:rPr>
          <w:b/>
          <w:bCs/>
        </w:rPr>
        <w:t>The general objective of this evaluation</w:t>
      </w:r>
      <w:r w:rsidRPr="00A80EDE">
        <w:t xml:space="preserve"> is to contribute to the objective of the contract by deepening the analysis of the implementation system of the PR Center, respectively of the management, control and support mechanisms that influence the performance of the program. The evaluation aims to provide a solid information base for the management decisions of the AM PR Centre, in order to increase the efficiency, effectiveness and coherence of interventions, as well as to draw lessons learned and good practices for adapting the system and preparing the post-2027 financial framework.</w:t>
      </w:r>
    </w:p>
    <w:p w14:paraId="2A24A5F8" w14:textId="727B299C" w:rsidR="00A420EC" w:rsidRPr="00A80EDE" w:rsidRDefault="0091600E" w:rsidP="00A80EDE">
      <w:pPr>
        <w:pStyle w:val="Listparagraf"/>
        <w:numPr>
          <w:ilvl w:val="0"/>
          <w:numId w:val="16"/>
        </w:numPr>
        <w:suppressAutoHyphens/>
      </w:pPr>
      <w:r w:rsidRPr="00A80EDE">
        <w:t>The scope</w:t>
      </w:r>
      <w:r w:rsidRPr="00A80EDE">
        <w:rPr>
          <w:rFonts w:eastAsia="Times New Roman"/>
          <w:b/>
          <w:bCs/>
          <w:lang w:eastAsia="ro-RO"/>
        </w:rPr>
        <w:t xml:space="preserve"> of the evaluation is the implementation system of the Centre Region Programme</w:t>
      </w:r>
      <w:r w:rsidRPr="00A80EDE">
        <w:rPr>
          <w:lang w:eastAsia="ro-RO"/>
        </w:rPr>
        <w:t>, defined in this evaluation according to the approaches used in similar studies and evaluations of the EU Cohesion Policy, in particular the Ex-post Evaluation of the 2007–2013 Delivery</w:t>
      </w:r>
      <w:r w:rsidRPr="00A80EDE">
        <w:rPr>
          <w:rStyle w:val="Referinnotdesubsol"/>
          <w:lang w:eastAsia="ro-RO"/>
        </w:rPr>
        <w:footnoteReference w:id="2"/>
      </w:r>
      <w:r w:rsidRPr="00A80EDE">
        <w:rPr>
          <w:lang w:eastAsia="ro-RO"/>
        </w:rPr>
        <w:t xml:space="preserve"> </w:t>
      </w:r>
      <w:r w:rsidRPr="00A80EDE">
        <w:rPr>
          <w:i/>
          <w:iCs/>
          <w:lang w:eastAsia="ro-RO"/>
        </w:rPr>
        <w:t>System</w:t>
      </w:r>
      <w:r w:rsidRPr="00A80EDE">
        <w:rPr>
          <w:lang w:eastAsia="ro-RO"/>
        </w:rPr>
        <w:t>, namely:</w:t>
      </w:r>
    </w:p>
    <w:p w14:paraId="5AFFF3BC" w14:textId="77777777" w:rsidR="00A420EC" w:rsidRPr="00A80EDE" w:rsidRDefault="0091600E" w:rsidP="00A80EDE">
      <w:pPr>
        <w:pStyle w:val="Numparagraphnormal"/>
        <w:suppressAutoHyphens/>
        <w:ind w:left="1260"/>
        <w:rPr>
          <w:rStyle w:val="Accentuaresubtil"/>
        </w:rPr>
      </w:pPr>
      <w:r w:rsidRPr="00A80EDE">
        <w:rPr>
          <w:rStyle w:val="Accentuaresubtil"/>
        </w:rPr>
        <w:t>'the combination of legal requirements and procedures that support the efficient and effective investment of European Union resources, as well as operational roles and responsibilities in policy planning, management and implementation at European, national and regional level.'</w:t>
      </w:r>
    </w:p>
    <w:p w14:paraId="28364891" w14:textId="500331E0" w:rsidR="00A420EC" w:rsidRPr="00A80EDE" w:rsidRDefault="0091600E" w:rsidP="00A80EDE">
      <w:pPr>
        <w:pStyle w:val="Listparagraf"/>
        <w:numPr>
          <w:ilvl w:val="0"/>
          <w:numId w:val="16"/>
        </w:numPr>
        <w:suppressAutoHyphens/>
      </w:pPr>
      <w:r w:rsidRPr="00A80EDE">
        <w:t xml:space="preserve">In the operational sense, this definition includes all relevant components of the functioning of the Programme: the entities and structures involved, the administrative, strategic and operational processes, the tools and procedures used, the human resources and capacities available, as well as the relations between the </w:t>
      </w:r>
      <w:r w:rsidR="005A6DC5" w:rsidRPr="00A80EDE">
        <w:t xml:space="preserve">AM </w:t>
      </w:r>
      <w:r w:rsidRPr="00A80EDE">
        <w:t>PR Centre, the central, European institutions, partners and beneficiaries.</w:t>
      </w:r>
    </w:p>
    <w:p w14:paraId="458AB147" w14:textId="7A4E461A" w:rsidR="00A420EC" w:rsidRPr="00A80EDE" w:rsidRDefault="0091600E" w:rsidP="00A80EDE">
      <w:pPr>
        <w:pStyle w:val="Listparagraf"/>
        <w:numPr>
          <w:ilvl w:val="0"/>
          <w:numId w:val="16"/>
        </w:numPr>
        <w:suppressAutoHyphens/>
      </w:pPr>
      <w:r w:rsidRPr="00A80EDE">
        <w:t xml:space="preserve">In defining the implementation system, this </w:t>
      </w:r>
      <w:r w:rsidR="00620B46" w:rsidRPr="00A80EDE">
        <w:t>evaluation</w:t>
      </w:r>
      <w:r w:rsidRPr="00A80EDE">
        <w:t xml:space="preserve"> explicitly sets the system boundaries, in order to clearly delimit which elements are analyzed within the system and what is related to the external context. </w:t>
      </w:r>
    </w:p>
    <w:p w14:paraId="74BFB905" w14:textId="71920C02" w:rsidR="00A420EC" w:rsidRPr="00A80EDE" w:rsidRDefault="0091600E" w:rsidP="00A80EDE">
      <w:pPr>
        <w:pStyle w:val="Listparagraf"/>
        <w:numPr>
          <w:ilvl w:val="0"/>
          <w:numId w:val="16"/>
        </w:numPr>
        <w:suppressAutoHyphens/>
        <w:rPr>
          <w:lang w:eastAsia="ro-RO"/>
        </w:rPr>
      </w:pPr>
      <w:r w:rsidRPr="00A80EDE">
        <w:lastRenderedPageBreak/>
        <w:t>Thus, the implementation system of PR Center includes the elements of the program's management and control system to which are added the funding beneficiaries and partners and other stakeholders with direct or indirect contributions to the implementation of the program, such as:</w:t>
      </w:r>
    </w:p>
    <w:p w14:paraId="7A29F8E9" w14:textId="03FE3552" w:rsidR="00A420EC" w:rsidRPr="00A80EDE" w:rsidRDefault="0091600E" w:rsidP="00A80EDE">
      <w:pPr>
        <w:pStyle w:val="Bullet"/>
        <w:numPr>
          <w:ilvl w:val="0"/>
          <w:numId w:val="27"/>
        </w:numPr>
        <w:suppressAutoHyphens/>
      </w:pPr>
      <w:r w:rsidRPr="00A80EDE">
        <w:t>the structures that contribute directly to the management of the programme (AM PR Centre with the intermediary body, national structures, the European Commission and the relevant institutional partners);</w:t>
      </w:r>
    </w:p>
    <w:p w14:paraId="373F0BD7" w14:textId="77777777" w:rsidR="00A420EC" w:rsidRPr="00A80EDE" w:rsidRDefault="0091600E" w:rsidP="00A80EDE">
      <w:pPr>
        <w:pStyle w:val="Bullet"/>
        <w:numPr>
          <w:ilvl w:val="0"/>
          <w:numId w:val="27"/>
        </w:numPr>
        <w:suppressAutoHyphens/>
      </w:pPr>
      <w:r w:rsidRPr="00A80EDE">
        <w:t>regional development stakeholders in the Centre Region;</w:t>
      </w:r>
    </w:p>
    <w:p w14:paraId="08B60110" w14:textId="77777777" w:rsidR="00A420EC" w:rsidRPr="00A80EDE" w:rsidRDefault="0091600E" w:rsidP="00A80EDE">
      <w:pPr>
        <w:pStyle w:val="Bullet"/>
        <w:numPr>
          <w:ilvl w:val="0"/>
          <w:numId w:val="27"/>
        </w:numPr>
        <w:suppressAutoHyphens/>
      </w:pPr>
      <w:r w:rsidRPr="00A80EDE">
        <w:t>the administrative and operational processes associated with the entire cycle of the PR Center;</w:t>
      </w:r>
    </w:p>
    <w:p w14:paraId="49538101" w14:textId="77777777" w:rsidR="00A420EC" w:rsidRPr="00A80EDE" w:rsidRDefault="0091600E" w:rsidP="00A80EDE">
      <w:pPr>
        <w:pStyle w:val="Bullet"/>
        <w:numPr>
          <w:ilvl w:val="0"/>
          <w:numId w:val="27"/>
        </w:numPr>
        <w:suppressAutoHyphens/>
      </w:pPr>
      <w:r w:rsidRPr="00A80EDE">
        <w:t>the tools, procedures and information systems used in the implementation;</w:t>
      </w:r>
    </w:p>
    <w:p w14:paraId="2388D410" w14:textId="77777777" w:rsidR="00A420EC" w:rsidRPr="00A80EDE" w:rsidRDefault="0091600E" w:rsidP="00A80EDE">
      <w:pPr>
        <w:pStyle w:val="Bullet"/>
        <w:numPr>
          <w:ilvl w:val="0"/>
          <w:numId w:val="27"/>
        </w:numPr>
        <w:suppressAutoHyphens/>
      </w:pPr>
      <w:r w:rsidRPr="00A80EDE">
        <w:t>human resources, capacities and internal coordination mechanisms;</w:t>
      </w:r>
    </w:p>
    <w:p w14:paraId="533C3557" w14:textId="77777777" w:rsidR="00A420EC" w:rsidRPr="00A80EDE" w:rsidRDefault="0091600E" w:rsidP="00A80EDE">
      <w:pPr>
        <w:pStyle w:val="Bullet"/>
        <w:numPr>
          <w:ilvl w:val="0"/>
          <w:numId w:val="27"/>
        </w:numPr>
        <w:suppressAutoHyphens/>
      </w:pPr>
      <w:r w:rsidRPr="00A80EDE">
        <w:t>Funding beneficiaries</w:t>
      </w:r>
    </w:p>
    <w:p w14:paraId="47D7280A" w14:textId="77777777" w:rsidR="00A420EC" w:rsidRPr="00A80EDE" w:rsidRDefault="0091600E" w:rsidP="00A80EDE">
      <w:pPr>
        <w:pStyle w:val="Bullet"/>
        <w:numPr>
          <w:ilvl w:val="0"/>
          <w:numId w:val="27"/>
        </w:numPr>
        <w:suppressAutoHyphens/>
      </w:pPr>
      <w:r w:rsidRPr="00A80EDE">
        <w:t>interactions between the entities involved.</w:t>
      </w:r>
    </w:p>
    <w:p w14:paraId="2427F4E1" w14:textId="46CA1930" w:rsidR="00A420EC" w:rsidRPr="00A80EDE" w:rsidRDefault="0091600E" w:rsidP="00A80EDE">
      <w:pPr>
        <w:pStyle w:val="Listparagraf"/>
        <w:numPr>
          <w:ilvl w:val="0"/>
          <w:numId w:val="16"/>
        </w:numPr>
        <w:suppressAutoHyphens/>
      </w:pPr>
      <w:r w:rsidRPr="00A80EDE">
        <w:t xml:space="preserve">Outside the limits of the system remain the elements over which AM PR Centre has no direct control – such as the national legislative framework, relevant regulations, other complementary funding programs. These are treated as </w:t>
      </w:r>
      <w:r w:rsidRPr="00A80EDE">
        <w:rPr>
          <w:b/>
        </w:rPr>
        <w:t>contextual factors</w:t>
      </w:r>
      <w:r w:rsidRPr="00A80EDE">
        <w:t xml:space="preserve"> that influence the functioning of the </w:t>
      </w:r>
      <w:r w:rsidR="0064166B" w:rsidRPr="00A80EDE">
        <w:t>system but</w:t>
      </w:r>
      <w:r w:rsidRPr="00A80EDE">
        <w:t xml:space="preserve"> are not part of the analyzed system.</w:t>
      </w:r>
    </w:p>
    <w:p w14:paraId="2BEA2F23" w14:textId="74E22972" w:rsidR="00A420EC" w:rsidRPr="00A80EDE" w:rsidRDefault="0091600E" w:rsidP="00A80EDE">
      <w:pPr>
        <w:pStyle w:val="Listparagraf"/>
        <w:numPr>
          <w:ilvl w:val="0"/>
          <w:numId w:val="16"/>
        </w:numPr>
        <w:suppressAutoHyphens/>
      </w:pPr>
      <w:r w:rsidRPr="00A80EDE">
        <w:t xml:space="preserve">This clear delineation allows the evaluation to focus on the processes, structures and resources that the </w:t>
      </w:r>
      <w:r w:rsidR="005A6DC5" w:rsidRPr="00A80EDE">
        <w:t xml:space="preserve">AM </w:t>
      </w:r>
      <w:r w:rsidRPr="00A80EDE">
        <w:t>can directly or indirectly influence and to make realistic recommendations for the period 2021–2027 and in view of the 2028–2034 programming.</w:t>
      </w:r>
    </w:p>
    <w:p w14:paraId="233FFC5A" w14:textId="409FD5CD" w:rsidR="00EC0F61" w:rsidRPr="00A80EDE" w:rsidRDefault="00EC0F61" w:rsidP="00A80EDE">
      <w:pPr>
        <w:pStyle w:val="Listparagraf"/>
        <w:numPr>
          <w:ilvl w:val="0"/>
          <w:numId w:val="16"/>
        </w:numPr>
        <w:suppressAutoHyphens/>
      </w:pPr>
      <w:r w:rsidRPr="00A80EDE">
        <w:t xml:space="preserve">The methodology used in this evaluation is a mixed one, combining quantitative and qualitative methods in a design that allows the triangulation of the results and the strengthening of the robustness of the conclusions. The quantitative data </w:t>
      </w:r>
      <w:r w:rsidR="0064166B" w:rsidRPr="00A80EDE">
        <w:t>was</w:t>
      </w:r>
      <w:r w:rsidRPr="00A80EDE">
        <w:t xml:space="preserve"> collected through surveys addressed to the staff of </w:t>
      </w:r>
      <w:r w:rsidR="005A6DC5" w:rsidRPr="00A80EDE">
        <w:t xml:space="preserve">AM PR </w:t>
      </w:r>
      <w:r w:rsidR="00620B46" w:rsidRPr="00A80EDE">
        <w:t>for the Central Region</w:t>
      </w:r>
      <w:r w:rsidRPr="00A80EDE">
        <w:t>, beneficiaries and members of the partnership structures, while the qualitative dimension included semi-structured interviews, focus groups, workshops, case studies and a panel of experts.</w:t>
      </w:r>
    </w:p>
    <w:p w14:paraId="68C0BB0C" w14:textId="77777777" w:rsidR="00EC0F61" w:rsidRPr="00A80EDE" w:rsidRDefault="00EC0F61" w:rsidP="00A80EDE">
      <w:pPr>
        <w:pStyle w:val="Listparagraf"/>
        <w:numPr>
          <w:ilvl w:val="0"/>
          <w:numId w:val="16"/>
        </w:numPr>
        <w:suppressAutoHyphens/>
      </w:pPr>
      <w:r w:rsidRPr="00A80EDE">
        <w:t>The evaluation has an atypical character, because the analyzed object is not an intervention or a portfolio of projects, but a system – the implementation system of the Center Regional Program. This required an adapted methodological approach, capable of capturing the institutional dynamics, the operational processes, the relationships between the actors and the real functioning of the management and control mechanisms.</w:t>
      </w:r>
    </w:p>
    <w:p w14:paraId="521F0B8F" w14:textId="77777777" w:rsidR="00A420EC" w:rsidRPr="00A80EDE" w:rsidRDefault="0091600E" w:rsidP="00A80EDE">
      <w:pPr>
        <w:pStyle w:val="Listparagraf"/>
        <w:numPr>
          <w:ilvl w:val="0"/>
          <w:numId w:val="16"/>
        </w:numPr>
        <w:suppressAutoHyphens/>
      </w:pPr>
      <w:r w:rsidRPr="00A80EDE">
        <w:t>The evaluation process has been designed as a participatory and learning-oriented one, aiming not only at data collection, but also at the active involvement of stakeholders in their interpretation. The interviews, focus groups and workshops functioned as spaces for dialogue, in which the participants contributed to the common understanding of the key aspects of the system, reflecting on the different perspectives and the recurrent causes of the observed dysfunctions.</w:t>
      </w:r>
    </w:p>
    <w:p w14:paraId="54F2B9EC" w14:textId="7F07C66D" w:rsidR="00EC0F61" w:rsidRPr="00A80EDE" w:rsidRDefault="0091600E" w:rsidP="00A80EDE">
      <w:pPr>
        <w:pStyle w:val="Listparagraf"/>
        <w:numPr>
          <w:ilvl w:val="0"/>
          <w:numId w:val="16"/>
        </w:numPr>
        <w:suppressAutoHyphens/>
      </w:pPr>
      <w:r w:rsidRPr="00A80EDE">
        <w:t xml:space="preserve">The full description of the methodology – including the tools used, sampling, triangulation, limitations and stages of the </w:t>
      </w:r>
      <w:r w:rsidR="00620B46" w:rsidRPr="00A80EDE">
        <w:t>evaluation</w:t>
      </w:r>
      <w:r w:rsidRPr="00A80EDE">
        <w:t xml:space="preserve"> – is presented in Section 4 of the report.</w:t>
      </w:r>
    </w:p>
    <w:p w14:paraId="30C5C511" w14:textId="77777777" w:rsidR="00A420EC" w:rsidRPr="00A80EDE" w:rsidRDefault="0091600E" w:rsidP="00A80EDE">
      <w:pPr>
        <w:pStyle w:val="Listparagraf"/>
        <w:numPr>
          <w:ilvl w:val="0"/>
          <w:numId w:val="16"/>
        </w:numPr>
        <w:suppressAutoHyphens/>
      </w:pPr>
      <w:r w:rsidRPr="00A80EDE">
        <w:t>The target group of the evaluation covers all categories of actors involved in the functioning of the PR Centre implementation system, including: the staff of the Centre PR Managing Authority (management and execution), the partner structures of the programme (CM, CRP, CRI), institutions with a role in coordination and control (MIPE, ANAP, AA), local public authorities (communes, cities, municipalities and county councils), relevant public institutions in the areas targeted by the interventions,  private beneficiaries (SMEs, including small enterprises and start-ups), economic and social organisations, as well as experts and representatives of academia. The variety of these actors, illustrated in Figure 1 and detailed in the methodology for each research method, reflects the substantial effort made to integrate a diverse range of perspectives on the functioning of the system, so that the evaluation accurately captures the experiences and perceptions of all relevant stakeholders.</w:t>
      </w:r>
    </w:p>
    <w:p w14:paraId="7CCB4BFC" w14:textId="77777777" w:rsidR="00F23815" w:rsidRPr="00A80EDE" w:rsidRDefault="007E1AD5" w:rsidP="00A80EDE">
      <w:pPr>
        <w:pStyle w:val="Numparagraphnormal"/>
        <w:suppressAutoHyphens/>
        <w:ind w:left="720"/>
        <w:rPr>
          <w:lang w:eastAsia="ro-RO"/>
        </w:rPr>
      </w:pPr>
      <w:r w:rsidRPr="00A80EDE">
        <w:rPr>
          <w:noProof/>
        </w:rPr>
        <w:lastRenderedPageBreak/>
        <mc:AlternateContent>
          <mc:Choice Requires="wps">
            <w:drawing>
              <wp:anchor distT="0" distB="0" distL="114300" distR="114300" simplePos="0" relativeHeight="251658249" behindDoc="0" locked="0" layoutInCell="1" allowOverlap="1" wp14:anchorId="1E2F0EE4" wp14:editId="0E5AFC8D">
                <wp:simplePos x="0" y="0"/>
                <wp:positionH relativeFrom="column">
                  <wp:posOffset>935566</wp:posOffset>
                </wp:positionH>
                <wp:positionV relativeFrom="paragraph">
                  <wp:posOffset>4368588</wp:posOffset>
                </wp:positionV>
                <wp:extent cx="2882265" cy="386715"/>
                <wp:effectExtent l="0" t="0" r="0" b="0"/>
                <wp:wrapTopAndBottom/>
                <wp:docPr id="442267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86715"/>
                        </a:xfrm>
                        <a:prstGeom prst="rect">
                          <a:avLst/>
                        </a:prstGeom>
                        <a:solidFill>
                          <a:srgbClr val="FFFFFF"/>
                        </a:solidFill>
                        <a:ln w="9525">
                          <a:noFill/>
                          <a:miter lim="800000"/>
                          <a:headEnd/>
                          <a:tailEnd/>
                        </a:ln>
                      </wps:spPr>
                      <wps:txbx>
                        <w:txbxContent>
                          <w:p w14:paraId="0A073C1F" w14:textId="77777777" w:rsidR="00E704B9" w:rsidRPr="00A80EDE" w:rsidRDefault="00E704B9" w:rsidP="007E1AD5">
                            <w:pPr>
                              <w:spacing w:before="0" w:after="0"/>
                              <w:rPr>
                                <w:color w:val="365F91"/>
                                <w:sz w:val="16"/>
                                <w:szCs w:val="16"/>
                              </w:rPr>
                            </w:pPr>
                            <w:r w:rsidRPr="00A80EDE">
                              <w:rPr>
                                <w:color w:val="365F91"/>
                                <w:sz w:val="16"/>
                                <w:szCs w:val="16"/>
                              </w:rPr>
                              <w:t>Figure 1 Map of Deployment System Entities</w:t>
                            </w:r>
                          </w:p>
                        </w:txbxContent>
                      </wps:txbx>
                      <wps:bodyPr rot="0" vert="horz" wrap="square" lIns="91440" tIns="45720" rIns="91440" bIns="45720" anchor="t" anchorCtr="0">
                        <a:spAutoFit/>
                      </wps:bodyPr>
                    </wps:wsp>
                  </a:graphicData>
                </a:graphic>
              </wp:anchor>
            </w:drawing>
          </mc:Choice>
          <mc:Fallback>
            <w:pict>
              <v:shape w14:anchorId="1E2F0EE4" id="_x0000_s1028" type="#_x0000_t202" style="position:absolute;left:0;text-align:left;margin-left:73.65pt;margin-top:344pt;width:226.95pt;height:30.4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" stroked="f">
                <v:textbox style="mso-fit-shape-to-text:t">
                  <w:txbxContent>
                    <w:p w14:paraId="0A073C1F" w14:textId="77777777" w:rsidR="00E704B9" w:rsidRPr="00A80EDE" w:rsidRDefault="00E704B9" w:rsidP="007E1AD5">
                      <w:pPr>
                        <w:spacing w:before="0" w:after="0"/>
                        <w:rPr>
                          <w:color w:val="365F91"/>
                          <w:sz w:val="16"/>
                          <w:szCs w:val="16"/>
                        </w:rPr>
                      </w:pPr>
                      <w:r w:rsidRPr="00A80EDE">
                        <w:rPr>
                          <w:color w:val="365F91"/>
                          <w:sz w:val="16"/>
                          <w:szCs w:val="16"/>
                        </w:rPr>
                        <w:t>Figure 1 Map of Deployment System Entities</w:t>
                      </w:r>
                    </w:p>
                  </w:txbxContent>
                </v:textbox>
                <w10:wrap type="topAndBottom"/>
              </v:shape>
            </w:pict>
          </mc:Fallback>
        </mc:AlternateContent>
      </w:r>
      <w:r w:rsidRPr="00A80EDE">
        <w:rPr>
          <w:noProof/>
          <w:lang w:eastAsia="ro-RO"/>
        </w:rPr>
        <w:drawing>
          <wp:inline distT="0" distB="0" distL="0" distR="0" wp14:anchorId="539757C8" wp14:editId="700F7416">
            <wp:extent cx="5371947" cy="4226184"/>
            <wp:effectExtent l="0" t="0" r="635" b="3175"/>
            <wp:docPr id="152749129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2086" cy="4242027"/>
                    </a:xfrm>
                    <a:prstGeom prst="rect">
                      <a:avLst/>
                    </a:prstGeom>
                    <a:noFill/>
                  </pic:spPr>
                </pic:pic>
              </a:graphicData>
            </a:graphic>
          </wp:inline>
        </w:drawing>
      </w:r>
    </w:p>
    <w:p w14:paraId="016B272A" w14:textId="77777777" w:rsidR="00A420EC" w:rsidRPr="00A80EDE" w:rsidRDefault="0091600E" w:rsidP="00A80EDE">
      <w:pPr>
        <w:pStyle w:val="Listparagraf"/>
        <w:numPr>
          <w:ilvl w:val="0"/>
          <w:numId w:val="16"/>
        </w:numPr>
        <w:suppressAutoHyphens/>
      </w:pPr>
      <w:r w:rsidRPr="00A80EDE">
        <w:t>The results of the evaluation are designed to support the Managing Authority both in the operational adjustments necessary in the remaining implementation period 2021–2027, and in substantiating the strategic architecture for the period 2028–2034. Firstly, the evaluation provides clear evidence of areas where immediate improvements are possible – in particular procedural adjustments, standardisations, reinforcements of internal processes and specific simplification measures, which can reduce the administrative burden and speed up the processing of projects until the closure of the current programme.</w:t>
      </w:r>
    </w:p>
    <w:p w14:paraId="06CA23E5" w14:textId="4ED9F4BC" w:rsidR="00A420EC" w:rsidRPr="00A80EDE" w:rsidRDefault="0091600E" w:rsidP="00A80EDE">
      <w:pPr>
        <w:pStyle w:val="Listparagraf"/>
        <w:numPr>
          <w:ilvl w:val="0"/>
          <w:numId w:val="16"/>
        </w:numPr>
        <w:suppressAutoHyphens/>
      </w:pPr>
      <w:r w:rsidRPr="00A80EDE">
        <w:t xml:space="preserve">Secondly, the evaluation provides strategic directions for transforming the implementation system into an emerging and adaptive one, capable of responding to the challenges of regional development and financing opportunities in the next budget cycle. The findings and recommendations support the </w:t>
      </w:r>
      <w:r w:rsidR="005F6FE9" w:rsidRPr="00A80EDE">
        <w:t>AM</w:t>
      </w:r>
      <w:r w:rsidRPr="00A80EDE">
        <w:t>in identifying those systemic changes that condition the efficient functioning of a modern implementation system: consistent simplification, functional digitalization, use of real-time data, flexible processes proportional to the capacity of the beneficiaries and a more coherent inter-institutional coordination model in the region and beyond the region.</w:t>
      </w:r>
    </w:p>
    <w:p w14:paraId="13CFAD0F" w14:textId="55EB0201" w:rsidR="00A420EC" w:rsidRPr="00A80EDE" w:rsidRDefault="0091600E" w:rsidP="00A80EDE">
      <w:pPr>
        <w:pStyle w:val="Listparagraf"/>
        <w:numPr>
          <w:ilvl w:val="0"/>
          <w:numId w:val="16"/>
        </w:numPr>
        <w:suppressAutoHyphens/>
      </w:pPr>
      <w:r w:rsidRPr="00A80EDE">
        <w:t>The use of the evaluation results thus goes beyond punctual improvements of procedures, being oriented towards strengthening regional administrative capacity, towards creating a more robust, predictable and adaptable implementation model to changes. In this respect, evaluation is both a tool for collective learning and a strategic basis for the design of future programmes and funding mechanisms, ensuring the continuity and modernisation of governance in the region.</w:t>
      </w:r>
    </w:p>
    <w:p w14:paraId="212EE584" w14:textId="77777777" w:rsidR="00A420EC" w:rsidRPr="00A80EDE" w:rsidRDefault="0091600E" w:rsidP="00A80EDE">
      <w:pPr>
        <w:pStyle w:val="Titlu1"/>
        <w:suppressAutoHyphens/>
        <w:rPr>
          <w:rFonts w:hint="eastAsia"/>
        </w:rPr>
      </w:pPr>
      <w:bookmarkStart w:id="9" w:name="_Toc207608278"/>
      <w:bookmarkStart w:id="10" w:name="_Toc216119107"/>
      <w:r w:rsidRPr="00A80EDE">
        <w:lastRenderedPageBreak/>
        <w:t>General context of the evaluation</w:t>
      </w:r>
      <w:bookmarkEnd w:id="9"/>
      <w:bookmarkEnd w:id="10"/>
    </w:p>
    <w:p w14:paraId="1F27B89B" w14:textId="41CCC865" w:rsidR="00A420EC" w:rsidRPr="00A80EDE" w:rsidRDefault="0091600E" w:rsidP="00A80EDE">
      <w:pPr>
        <w:pStyle w:val="Listparagraf"/>
        <w:numPr>
          <w:ilvl w:val="0"/>
          <w:numId w:val="16"/>
        </w:numPr>
        <w:suppressAutoHyphens/>
      </w:pPr>
      <w:r w:rsidRPr="00A80EDE">
        <w:t xml:space="preserve">The object of this evaluation is not an intervention in the traditional sense of Cohesion Policy, but the implementation system of the Centre Region Programme (PR Centre) 2021–2027. Consequently, the general context describes not a set of activities or investments, but </w:t>
      </w:r>
      <w:r w:rsidRPr="00A80EDE">
        <w:rPr>
          <w:b/>
          <w:lang w:eastAsia="ro-RO"/>
        </w:rPr>
        <w:t>the institutional architecture (institutional elements of the system), the processes and resources that support the implementation of the programme, the way in which actors interact and the expected results</w:t>
      </w:r>
      <w:r w:rsidRPr="00A80EDE">
        <w:rPr>
          <w:lang w:eastAsia="ro-RO"/>
        </w:rPr>
        <w:t xml:space="preserve"> from the efficient functioning of this system. </w:t>
      </w:r>
    </w:p>
    <w:p w14:paraId="51E1E49E" w14:textId="02021516" w:rsidR="00A420EC" w:rsidRPr="00A80EDE" w:rsidRDefault="0091600E" w:rsidP="00A80EDE">
      <w:pPr>
        <w:pStyle w:val="Listparagraf"/>
        <w:numPr>
          <w:ilvl w:val="0"/>
          <w:numId w:val="16"/>
        </w:numPr>
        <w:suppressAutoHyphens/>
        <w:rPr>
          <w:lang w:eastAsia="ro-RO"/>
        </w:rPr>
      </w:pPr>
      <w:r w:rsidRPr="00A80EDE">
        <w:t xml:space="preserve">The key contextual elements of this </w:t>
      </w:r>
      <w:r w:rsidR="00620B46" w:rsidRPr="00A80EDE">
        <w:t>evaluation</w:t>
      </w:r>
      <w:r w:rsidRPr="00A80EDE">
        <w:t xml:space="preserve"> are:</w:t>
      </w:r>
    </w:p>
    <w:p w14:paraId="620C5C79" w14:textId="5A4D232F" w:rsidR="00A420EC" w:rsidRPr="00A80EDE" w:rsidRDefault="0091600E" w:rsidP="00A80EDE">
      <w:pPr>
        <w:pStyle w:val="Bullet"/>
        <w:numPr>
          <w:ilvl w:val="0"/>
          <w:numId w:val="29"/>
        </w:numPr>
        <w:suppressAutoHyphens/>
        <w:rPr>
          <w:rStyle w:val="Accentuaresubtil"/>
        </w:rPr>
      </w:pPr>
      <w:r w:rsidRPr="00A80EDE">
        <w:rPr>
          <w:rStyle w:val="Accentuaresubtil"/>
        </w:rPr>
        <w:t>the program for which the implementation system was created – PR Center 2021-2027</w:t>
      </w:r>
    </w:p>
    <w:p w14:paraId="0F4472AA" w14:textId="10BC82BE" w:rsidR="00A420EC" w:rsidRPr="00A80EDE" w:rsidRDefault="0091600E" w:rsidP="00A80EDE">
      <w:pPr>
        <w:pStyle w:val="Bullet"/>
        <w:numPr>
          <w:ilvl w:val="0"/>
          <w:numId w:val="29"/>
        </w:numPr>
        <w:suppressAutoHyphens/>
        <w:rPr>
          <w:rStyle w:val="Accentuaresubtil"/>
        </w:rPr>
      </w:pPr>
      <w:r w:rsidRPr="00A80EDE">
        <w:rPr>
          <w:rStyle w:val="Accentuaresubtil"/>
        </w:rPr>
        <w:t>the institutional architecture of the Cohesion Policy programmes in Romania</w:t>
      </w:r>
    </w:p>
    <w:p w14:paraId="4FEF9C07" w14:textId="2A1BADCD" w:rsidR="00A420EC" w:rsidRPr="00A80EDE" w:rsidRDefault="00B06E64" w:rsidP="00A80EDE">
      <w:pPr>
        <w:pStyle w:val="Bullet"/>
        <w:numPr>
          <w:ilvl w:val="0"/>
          <w:numId w:val="29"/>
        </w:numPr>
        <w:suppressAutoHyphens/>
      </w:pPr>
      <w:r w:rsidRPr="00A80EDE">
        <w:rPr>
          <w:rStyle w:val="Accentuaresubtil"/>
        </w:rPr>
        <w:t xml:space="preserve">The Centre Region </w:t>
      </w:r>
      <w:r w:rsidR="0064166B" w:rsidRPr="00A80EDE">
        <w:rPr>
          <w:rStyle w:val="Accentuaresubtil"/>
        </w:rPr>
        <w:t>is</w:t>
      </w:r>
      <w:r w:rsidRPr="00A80EDE">
        <w:rPr>
          <w:rStyle w:val="Accentuaresubtil"/>
        </w:rPr>
        <w:t xml:space="preserve"> a territorial area at the level </w:t>
      </w:r>
      <w:r w:rsidR="005E0119" w:rsidRPr="00A80EDE">
        <w:rPr>
          <w:rStyle w:val="Accentuaresubtil"/>
        </w:rPr>
        <w:t>to</w:t>
      </w:r>
      <w:r w:rsidRPr="00A80EDE">
        <w:rPr>
          <w:rStyle w:val="Accentuaresubtil"/>
        </w:rPr>
        <w:t xml:space="preserve"> which the programme operates</w:t>
      </w:r>
      <w:r w:rsidR="0091600E" w:rsidRPr="00A80EDE">
        <w:t>.</w:t>
      </w:r>
    </w:p>
    <w:p w14:paraId="3641A231" w14:textId="77777777" w:rsidR="00A420EC" w:rsidRPr="00A80EDE" w:rsidRDefault="0091600E" w:rsidP="00A80EDE">
      <w:pPr>
        <w:pStyle w:val="Titlu4"/>
        <w:suppressAutoHyphens/>
        <w:rPr>
          <w:lang w:eastAsia="ro-RO"/>
        </w:rPr>
      </w:pPr>
      <w:r w:rsidRPr="00A80EDE">
        <w:rPr>
          <w:lang w:eastAsia="ro-RO"/>
        </w:rPr>
        <w:t>PR Center 2021-2027 - overview and relevant aspects</w:t>
      </w:r>
    </w:p>
    <w:p w14:paraId="0EF80FFD" w14:textId="77777777" w:rsidR="00A420EC" w:rsidRPr="00A80EDE" w:rsidRDefault="0091600E" w:rsidP="00A80EDE">
      <w:pPr>
        <w:pStyle w:val="Listparagraf"/>
        <w:numPr>
          <w:ilvl w:val="0"/>
          <w:numId w:val="16"/>
        </w:numPr>
        <w:suppressAutoHyphens/>
      </w:pPr>
      <w:r w:rsidRPr="00A80EDE">
        <w:t>From the perspective of the analysis of the implementation system, the program has some essential characteristics, detailed below.</w:t>
      </w:r>
    </w:p>
    <w:p w14:paraId="5D8A1CBF" w14:textId="77777777" w:rsidR="00A420EC" w:rsidRPr="00A80EDE" w:rsidRDefault="0091600E" w:rsidP="00A80EDE">
      <w:pPr>
        <w:pStyle w:val="Listparagraf"/>
        <w:numPr>
          <w:ilvl w:val="0"/>
          <w:numId w:val="16"/>
        </w:numPr>
        <w:suppressAutoHyphens/>
      </w:pPr>
      <w:r w:rsidRPr="00A80EDE">
        <w:t>PR Center 2021–2027 has an effective implementation period of approximately 7 years (October 2022 – December 2029) being a program of significant size, compared to the funding previously managed at regional level. The total allocation of over €1.38 billion represents an unprecedented level for the Centre Region, which amplifies the administrative and operational requirements associated with implementation.</w:t>
      </w:r>
    </w:p>
    <w:p w14:paraId="167DC24D" w14:textId="19AC6913" w:rsidR="00A420EC" w:rsidRPr="00A80EDE" w:rsidRDefault="0091600E" w:rsidP="00A80EDE">
      <w:pPr>
        <w:pStyle w:val="Listparagraf"/>
        <w:numPr>
          <w:ilvl w:val="0"/>
          <w:numId w:val="16"/>
        </w:numPr>
        <w:suppressAutoHyphens/>
      </w:pPr>
      <w:r w:rsidRPr="00A80EDE">
        <w:t xml:space="preserve">The program is implemented for the first time by an entity with the role of Managing Authority at regional level, respectively a dedicated structure within the </w:t>
      </w:r>
      <w:r w:rsidR="00265A17" w:rsidRPr="00A80EDE">
        <w:t>ADR Centre</w:t>
      </w:r>
      <w:r w:rsidRPr="00A80EDE">
        <w:t>. This transition from the centralized to a decentralized model represents one of the most important institutional changes in the management architecture of European funds in Romania.</w:t>
      </w:r>
    </w:p>
    <w:p w14:paraId="7193C190" w14:textId="42DD90A0" w:rsidR="00A420EC" w:rsidRPr="00A80EDE" w:rsidRDefault="0091600E" w:rsidP="00A80EDE">
      <w:pPr>
        <w:pStyle w:val="Listparagraf"/>
        <w:numPr>
          <w:ilvl w:val="0"/>
          <w:numId w:val="16"/>
        </w:numPr>
        <w:suppressAutoHyphens/>
      </w:pPr>
      <w:r w:rsidRPr="00A80EDE">
        <w:t>The Programme has a very wide diversity of investment priorities, broken down into multiple specific objectives covering all five Cohesion Policy Objectives (OP1–OP5). This thematic complexity is reflected in a large number of calls and types of interventions, with different procedural and technical requirements.</w:t>
      </w:r>
    </w:p>
    <w:p w14:paraId="4C7596FD" w14:textId="22AE583F" w:rsidR="00A420EC" w:rsidRPr="00A80EDE" w:rsidRDefault="0091600E" w:rsidP="00A80EDE">
      <w:pPr>
        <w:pStyle w:val="Listparagraf"/>
        <w:numPr>
          <w:ilvl w:val="0"/>
          <w:numId w:val="16"/>
        </w:numPr>
        <w:suppressAutoHyphens/>
      </w:pPr>
      <w:r w:rsidRPr="00A80EDE">
        <w:t xml:space="preserve">The programme includes a dedicated priority of Technical Assistance, financed by the ERDF, through which the necessary resources are ensured for the functioning of the implementation system. With a value of approximately €58.25 million, the Technical Assistance (TA) Priority finances the Programme's processes and administrative capacity, the development and maintenance of working systems and tools. The PR Centre develops the administrative capacity of authorities and beneficiaries through coherent actions under the umbrella of a Roadmap for strengthening administrative capacity. </w:t>
      </w:r>
    </w:p>
    <w:p w14:paraId="562E547B" w14:textId="77777777" w:rsidR="00A420EC" w:rsidRPr="00A80EDE" w:rsidRDefault="0091600E" w:rsidP="00A80EDE">
      <w:pPr>
        <w:pStyle w:val="Titlu4"/>
        <w:suppressAutoHyphens/>
        <w:rPr>
          <w:lang w:eastAsia="ro-RO"/>
        </w:rPr>
      </w:pPr>
      <w:r w:rsidRPr="00A80EDE">
        <w:rPr>
          <w:lang w:eastAsia="ro-RO"/>
        </w:rPr>
        <w:t>Institutional architecture of the Cohesion Policy programmes in Romania</w:t>
      </w:r>
    </w:p>
    <w:p w14:paraId="4A6BD417" w14:textId="6845BD22" w:rsidR="00A420EC" w:rsidRPr="00A80EDE" w:rsidRDefault="0091600E" w:rsidP="00A80EDE">
      <w:pPr>
        <w:pStyle w:val="Listparagraf"/>
        <w:numPr>
          <w:ilvl w:val="0"/>
          <w:numId w:val="16"/>
        </w:numPr>
        <w:suppressAutoHyphens/>
      </w:pPr>
      <w:r w:rsidRPr="00A80EDE">
        <w:t>The institutional architecture of the 2021–2027 EU programmes in Romania, available on the MIPE-https://mfe.gov.ro/ website</w:t>
      </w:r>
      <w:hyperlink r:id="rId22" w:history="1"/>
      <w:r w:rsidRPr="00A80EDE">
        <w:t>, illustrates the complexity of the framework in which the PR Centre operates and highlights the fact that the implementation system operates in a dense administrative ecosystem, marked by multiple and interdependent interactions between the regional, national and European levels. The scheme shows that AM PR Center is integrated into a broad institutional architecture, with direct operational links to MIPE (coordination), the Ministry of Finance – ACP (certification), the Audit Authority and other central structures with a role in control, verification and regulation. This set-up involves a high degree of vertical and horizontal coordination and requires continuous alignment of procedures between central and regional institutions.</w:t>
      </w:r>
    </w:p>
    <w:p w14:paraId="25B4554B" w14:textId="683062E6" w:rsidR="00A420EC" w:rsidRPr="00A80EDE" w:rsidRDefault="0091600E" w:rsidP="00A80EDE">
      <w:pPr>
        <w:pStyle w:val="Listparagraf"/>
        <w:numPr>
          <w:ilvl w:val="0"/>
          <w:numId w:val="16"/>
        </w:numPr>
        <w:suppressAutoHyphens/>
      </w:pPr>
      <w:r w:rsidRPr="00A80EDE">
        <w:t xml:space="preserve">At the same time, this architecture underlines the fact that the Centre Region benefits from funding through a large number of programmes and sources of funding – PR Centre, PNRR, POT, sectoral programmes, funding administered by the Environment Fund Administration and other European and </w:t>
      </w:r>
      <w:r w:rsidRPr="00A80EDE">
        <w:lastRenderedPageBreak/>
        <w:t xml:space="preserve">national instruments. On the one hand, this density of funding creates important opportunities for regional development; On the other hand, it generates risks of overlapping requirements, increased administrative pressure on beneficiaries and possible inconsistencies in investment planning and sequencing. Overall, </w:t>
      </w:r>
      <w:r w:rsidR="0064166B" w:rsidRPr="00A80EDE">
        <w:t>complex</w:t>
      </w:r>
      <w:r w:rsidRPr="00A80EDE">
        <w:t xml:space="preserve"> institutional architecture provides a clear picture of the need for effective coordination, simplification and integration mechanisms so that programmes contribute to an aggregated and coherent impact in the region.</w:t>
      </w:r>
    </w:p>
    <w:p w14:paraId="1238D70B" w14:textId="514600EE" w:rsidR="00A420EC" w:rsidRPr="00A80EDE" w:rsidRDefault="0091600E" w:rsidP="00A80EDE">
      <w:pPr>
        <w:pStyle w:val="Titlu4"/>
        <w:suppressAutoHyphens/>
        <w:rPr>
          <w:lang w:eastAsia="ro-RO"/>
        </w:rPr>
      </w:pPr>
      <w:r w:rsidRPr="00A80EDE">
        <w:rPr>
          <w:lang w:eastAsia="ro-RO"/>
        </w:rPr>
        <w:t>Centre Region: key aspects from the perspective of the PR Centre implementation system</w:t>
      </w:r>
    </w:p>
    <w:p w14:paraId="299E8EB3" w14:textId="61C0ACD1" w:rsidR="00A420EC" w:rsidRPr="00A80EDE" w:rsidRDefault="0091600E" w:rsidP="00A80EDE">
      <w:pPr>
        <w:pStyle w:val="Listparagraf"/>
        <w:numPr>
          <w:ilvl w:val="0"/>
          <w:numId w:val="16"/>
        </w:numPr>
        <w:suppressAutoHyphens/>
      </w:pPr>
      <w:r w:rsidRPr="00A80EDE">
        <w:t xml:space="preserve">The Centre region combines dynamic and highly developed municipalities with extensive rural areas, exposed to depopulation and socio-economic decline. In total, the region comprises 20 municipalities, 37 cities and 357 municipalities, with significant differences in administrative and economic capacity between them. </w:t>
      </w:r>
    </w:p>
    <w:p w14:paraId="42D52A5D" w14:textId="6830B277" w:rsidR="00A420EC" w:rsidRPr="00A80EDE" w:rsidRDefault="0091600E" w:rsidP="00A80EDE">
      <w:pPr>
        <w:pStyle w:val="Listparagraf"/>
        <w:numPr>
          <w:ilvl w:val="0"/>
          <w:numId w:val="16"/>
        </w:numPr>
        <w:suppressAutoHyphens/>
      </w:pPr>
      <w:r w:rsidRPr="00A80EDE">
        <w:t>This heterogeneous territorial structure generates uneven administrative capacities, different project preparation rhythms and distinct needs, which makes it difficult to standardise and apply implementation procedures uniformly. These issues are characteristics at national level highlighted in previous evaluations of Cohesion Policy programmes, such as the ROP 2014-2020 evaluations on investment in urban development, the evaluations of administrative capacity at the level of the Partnership Agreement.</w:t>
      </w:r>
    </w:p>
    <w:p w14:paraId="27AF49E1" w14:textId="2492017A" w:rsidR="00922EB1" w:rsidRPr="00A80EDE" w:rsidRDefault="00C67657" w:rsidP="00A80EDE">
      <w:pPr>
        <w:pStyle w:val="Listparagraf"/>
        <w:numPr>
          <w:ilvl w:val="0"/>
          <w:numId w:val="16"/>
        </w:numPr>
        <w:suppressAutoHyphens/>
      </w:pPr>
      <w:r w:rsidRPr="00A80EDE">
        <w:t>In the Centre Region, several funding programs are active simultaneously (</w:t>
      </w:r>
      <w:r w:rsidR="00620B46" w:rsidRPr="00A80EDE">
        <w:t>RP for the Central Region</w:t>
      </w:r>
      <w:r w:rsidRPr="00A80EDE">
        <w:t xml:space="preserve">, PNRR, AFM, PT, PDD, PCDIF, Anghel Saligny, EU thematic programs), which creates a resource-rich context, but also risks of overlapping the deadlines of the calls for projects with the programs, administrative overload for </w:t>
      </w:r>
      <w:r w:rsidR="00F94785" w:rsidRPr="00A80EDE">
        <w:t>UAT</w:t>
      </w:r>
      <w:r w:rsidRPr="00A80EDE">
        <w:t>s and other eligible entities, confusion due to the uneven requirements and procedures of the funding programs. This density of funding can lead to a dispersion of funded projects and poor integration, limiting the impact of funding, dispersed portfolios.</w:t>
      </w:r>
    </w:p>
    <w:p w14:paraId="06C71A9D" w14:textId="60535976" w:rsidR="00A420EC" w:rsidRPr="00A80EDE" w:rsidRDefault="0091600E" w:rsidP="00A80EDE">
      <w:pPr>
        <w:pStyle w:val="Titlu4"/>
        <w:suppressAutoHyphens/>
        <w:rPr>
          <w:lang w:eastAsia="ro-RO"/>
        </w:rPr>
      </w:pPr>
      <w:r w:rsidRPr="00A80EDE">
        <w:rPr>
          <w:lang w:eastAsia="ro-RO"/>
        </w:rPr>
        <w:t>Description of the implementation system</w:t>
      </w:r>
    </w:p>
    <w:p w14:paraId="1F54B0EF" w14:textId="34F808BC" w:rsidR="00A420EC" w:rsidRPr="00A80EDE" w:rsidRDefault="0091600E" w:rsidP="00A80EDE">
      <w:pPr>
        <w:pStyle w:val="Listparagraf"/>
        <w:numPr>
          <w:ilvl w:val="0"/>
          <w:numId w:val="16"/>
        </w:numPr>
        <w:suppressAutoHyphens/>
      </w:pPr>
      <w:r w:rsidRPr="00A80EDE">
        <w:t>The implementation system includes the management and control system (MCS</w:t>
      </w:r>
      <w:r w:rsidRPr="00A80EDE">
        <w:rPr>
          <w:vertAlign w:val="superscript"/>
        </w:rPr>
        <w:footnoteReference w:id="3"/>
      </w:r>
      <w:r w:rsidRPr="00A80EDE">
        <w:t xml:space="preserve">) as defined by Common Provisions Regulation 1060/2021 plus the beneficiaries of the programme, other stakeholders, coordination structures, EC (from the perspective of structure, resources, process capacities and their interactions with other elements of the implementation system) </w:t>
      </w:r>
    </w:p>
    <w:p w14:paraId="0F1487A3" w14:textId="77AFEA89" w:rsidR="00A420EC" w:rsidRPr="00A80EDE" w:rsidRDefault="0091600E" w:rsidP="00A80EDE">
      <w:pPr>
        <w:pStyle w:val="Listparagraf"/>
        <w:numPr>
          <w:ilvl w:val="0"/>
          <w:numId w:val="16"/>
        </w:numPr>
        <w:suppressAutoHyphens/>
      </w:pPr>
      <w:r w:rsidRPr="00A80EDE">
        <w:t xml:space="preserve">The QMS of the PR Centre 2021–2027 is structured in accordance with the institutional architecture established by Regulation (EU) 2021/1060 and national legislation, based on the separation of functions and responsibilities between the institutions involved. The central role is played by the Centre PR Managing Authority within </w:t>
      </w:r>
      <w:r w:rsidR="00265A17" w:rsidRPr="00A80EDE">
        <w:t xml:space="preserve">ADR </w:t>
      </w:r>
      <w:r w:rsidRPr="00A80EDE">
        <w:t xml:space="preserve">Centre, responsible for the management of the programme: development and launch of calls for projects, evaluation and selection of operations, contracting, monitoring of implementation, administrative and field checks, as well as management of irregularities and reporting of results, evaluation of the programme. AM is the main pillar of the regional implementation system. </w:t>
      </w:r>
    </w:p>
    <w:p w14:paraId="21A41E48" w14:textId="294A413E" w:rsidR="00A420EC" w:rsidRPr="00A80EDE" w:rsidRDefault="0091600E" w:rsidP="00A80EDE">
      <w:pPr>
        <w:pStyle w:val="Listparagraf"/>
        <w:numPr>
          <w:ilvl w:val="0"/>
          <w:numId w:val="16"/>
        </w:numPr>
        <w:suppressAutoHyphens/>
      </w:pPr>
      <w:r w:rsidRPr="00A80EDE">
        <w:t>The Ministry of Finance, through the Certification and Payment Authority, ensures the accounting function</w:t>
      </w:r>
      <w:r w:rsidR="00143AD6" w:rsidRPr="00A80EDE">
        <w:rPr>
          <w:vertAlign w:val="superscript"/>
        </w:rPr>
        <w:footnoteReference w:id="4"/>
      </w:r>
      <w:r w:rsidR="003118C2" w:rsidRPr="00A80EDE">
        <w:t>, and SIFE fulfills the role of Intermediate Body at the level of the Program in terms of finding irregularities and establishing budgetary claims.</w:t>
      </w:r>
    </w:p>
    <w:p w14:paraId="66CF7D6A" w14:textId="20B5C363" w:rsidR="00A420EC" w:rsidRPr="00A80EDE" w:rsidRDefault="0091600E" w:rsidP="00A80EDE">
      <w:pPr>
        <w:pStyle w:val="Listparagraf"/>
        <w:numPr>
          <w:ilvl w:val="0"/>
          <w:numId w:val="16"/>
        </w:numPr>
        <w:suppressAutoHyphens/>
      </w:pPr>
      <w:r w:rsidRPr="00A80EDE">
        <w:lastRenderedPageBreak/>
        <w:t>The Audit Authority of the Court of Auditors carries out the external audit of the system, in accordance with the requirements of Regulation 1060/2021. The roles of these institutions are integrated into the QMS, ensuring the legality, regularity and sound financial management of the programme.</w:t>
      </w:r>
    </w:p>
    <w:p w14:paraId="410B49C3" w14:textId="4640B1C1" w:rsidR="00A420EC" w:rsidRPr="00A80EDE" w:rsidRDefault="0091600E" w:rsidP="00A80EDE">
      <w:pPr>
        <w:pStyle w:val="Listparagraf"/>
        <w:numPr>
          <w:ilvl w:val="0"/>
          <w:numId w:val="16"/>
        </w:numPr>
        <w:suppressAutoHyphens/>
      </w:pPr>
      <w:r w:rsidRPr="00A80EDE">
        <w:t>In parallel, the system operates in close interdependence with the national institutions with a coordinating role. The Ministry of European Investments and Projects (MIPE) ensures the strategic coordination of cohesion policy at national level, develops the methodological framework and is a member of the Monitoring Committee of the PR Centre.</w:t>
      </w:r>
    </w:p>
    <w:p w14:paraId="69199A26" w14:textId="104F7B1E" w:rsidR="00A420EC" w:rsidRPr="00A80EDE" w:rsidRDefault="0091600E" w:rsidP="00A80EDE">
      <w:pPr>
        <w:pStyle w:val="Listparagraf"/>
        <w:numPr>
          <w:ilvl w:val="0"/>
          <w:numId w:val="16"/>
        </w:numPr>
        <w:suppressAutoHyphens/>
      </w:pPr>
      <w:r w:rsidRPr="00A80EDE">
        <w:t xml:space="preserve">The implementation system is complemented by the program's partner structures and public and private beneficiaries, who contribute directly to the implementation of the interventions. The Monitoring Committee participates in the strategic orientation, approves the selection criteria and ensures the involvement of socio-economic actors in the governance of the programme. The beneficiaries – </w:t>
      </w:r>
      <w:r w:rsidR="00F94785" w:rsidRPr="00A80EDE">
        <w:t>UAT</w:t>
      </w:r>
      <w:r w:rsidRPr="00A80EDE">
        <w:t>s, public institutions and SMEs – are central operational actors of the system, responsible for the implementation of the funded projects. Overall, the implementation system of the PR Centre operates on several levels, where interactions between regional, national and European levels are essential for translating funds into changes relevant to the region.</w:t>
      </w:r>
    </w:p>
    <w:p w14:paraId="163B9B9E" w14:textId="78157AF6" w:rsidR="00A420EC" w:rsidRPr="00A80EDE" w:rsidRDefault="0091600E" w:rsidP="00A80EDE">
      <w:pPr>
        <w:pStyle w:val="Listparagraf"/>
        <w:numPr>
          <w:ilvl w:val="0"/>
          <w:numId w:val="16"/>
        </w:numPr>
        <w:suppressAutoHyphens/>
      </w:pPr>
      <w:r w:rsidRPr="00A80EDE">
        <w:t xml:space="preserve">The coverage area of the program is the entire Center Region, namely the counties of Alba, Brașov, Covasna, Harghita, Mureș and Sibiu, and from the perspective of the financing mechanism the implementation system is aimed exclusively at PR Center 2021-2027. </w:t>
      </w:r>
    </w:p>
    <w:p w14:paraId="07CDC0E3" w14:textId="46BC8D23" w:rsidR="00A420EC" w:rsidRPr="00A80EDE" w:rsidRDefault="0091600E" w:rsidP="00A80EDE">
      <w:pPr>
        <w:pStyle w:val="Listparagraf"/>
        <w:numPr>
          <w:ilvl w:val="0"/>
          <w:numId w:val="16"/>
        </w:numPr>
        <w:suppressAutoHyphens/>
      </w:pPr>
      <w:r w:rsidRPr="00A80EDE">
        <w:t xml:space="preserve">The resources relevant to the functioning of the system include the administrative, procedural, technical and human resources of the </w:t>
      </w:r>
      <w:r w:rsidR="00F94785" w:rsidRPr="00A80EDE">
        <w:t xml:space="preserve">ADR Centre </w:t>
      </w:r>
      <w:r w:rsidRPr="00A80EDE">
        <w:t>within which the structure of the managing authority was created, as well as the resources of the partner institutions involved in monitoring, control and audit. The most important source of funding for the implementation system is the Technical Assistance Priority of the PR Center. In addition, the system operates on the basis of a common digital infrastructure (MySMIS, SIATD, SICAP), the procedural framework established by guides and instructions, and the operational capacity of the beneficiaries.</w:t>
      </w:r>
    </w:p>
    <w:p w14:paraId="7B6D78B0" w14:textId="77777777" w:rsidR="00A420EC" w:rsidRPr="00A80EDE" w:rsidRDefault="0091600E" w:rsidP="00A80EDE">
      <w:pPr>
        <w:pStyle w:val="Listparagraf"/>
        <w:numPr>
          <w:ilvl w:val="0"/>
          <w:numId w:val="16"/>
        </w:numPr>
        <w:suppressAutoHyphens/>
      </w:pPr>
      <w:r w:rsidRPr="00A80EDE">
        <w:t>The expected results of an effective implementation system lie in its ability to transform available funds into region-relevant changes, through simple, coherent and impact-oriented processes, and are reflected in the performance of the programme and the satisfaction of regional actors.</w:t>
      </w:r>
    </w:p>
    <w:p w14:paraId="31BBE8EE" w14:textId="77777777" w:rsidR="00A420EC" w:rsidRPr="00A80EDE" w:rsidRDefault="0091600E" w:rsidP="00A80EDE">
      <w:pPr>
        <w:pStyle w:val="Listparagraf"/>
        <w:numPr>
          <w:ilvl w:val="0"/>
          <w:numId w:val="16"/>
        </w:numPr>
        <w:suppressAutoHyphens/>
      </w:pPr>
      <w:r w:rsidRPr="00A80EDE">
        <w:t>Links with the EU and national policy framework are essential for understanding the functioning of the PR Centre's implementation system. The programme is governed primarily by the Centre Regional Development Plan (RDP) 2021–2027, the strategic document that underpins priorities and justifies regional interventions. It is aligned with national territorial and sectoral strategies and policies, as well as the guidelines of the EU Cohesion Policy Strategy, which gives coherence to interventions but leaves relatively little room for flexibility for significant local adaptations.</w:t>
      </w:r>
    </w:p>
    <w:p w14:paraId="10E3C902" w14:textId="781CC9B7" w:rsidR="00A420EC" w:rsidRPr="00A80EDE" w:rsidRDefault="0091600E" w:rsidP="00A80EDE">
      <w:pPr>
        <w:pStyle w:val="Listparagraf"/>
        <w:numPr>
          <w:ilvl w:val="0"/>
          <w:numId w:val="16"/>
        </w:numPr>
        <w:suppressAutoHyphens/>
      </w:pPr>
      <w:r w:rsidRPr="00A80EDE">
        <w:rPr>
          <w:lang w:eastAsia="ro-RO"/>
        </w:rPr>
        <w:t>From the perspective of the implementation system, PR Center is based on an institutional experience gained in over 15 years of centralized management of ROP programs, an experience that has shaped administrative processes, procedures and practices. The transfer of the position of Managing Authority at regional level meant the continuation of the use of these working mechanisms – public procurement, verifications, control, monitoring – which operate according to consolidated rules at the level of the public system in Romania. This continuity facilitates implementation, but can also generate resistance to change, especially when new approaches such as decentralization, simplification, digitalization or results-oriented system are introduced.</w:t>
      </w:r>
    </w:p>
    <w:p w14:paraId="0DA2FD57" w14:textId="77777777" w:rsidR="00A420EC" w:rsidRPr="00A80EDE" w:rsidRDefault="0091600E" w:rsidP="00A80EDE">
      <w:pPr>
        <w:pStyle w:val="Listparagraf"/>
        <w:numPr>
          <w:ilvl w:val="0"/>
          <w:numId w:val="16"/>
        </w:numPr>
        <w:suppressAutoHyphens/>
      </w:pPr>
      <w:r w:rsidRPr="00A80EDE">
        <w:t xml:space="preserve">PR Centre operates within a well-defined European and national regulatory framework, regulated by Regulations (EU) no. 2021/1060 and 1058 on the management of funds and the functioning of </w:t>
      </w:r>
      <w:r w:rsidRPr="00A80EDE">
        <w:lastRenderedPageBreak/>
        <w:t>management and control systems. At national level, the programme aligns with the institutional framework of the Cohesion Policy 2021–2027. Looking ahead to 2028–2034, the implementation system will need to integrate the European Commission's emerging directions on performance-based governance, simplification of procedures, full digitalisation and a risk-proportional audit system.</w:t>
      </w:r>
    </w:p>
    <w:p w14:paraId="40DD9B24" w14:textId="795FB771" w:rsidR="00A420EC" w:rsidRPr="00A80EDE" w:rsidRDefault="000A3035" w:rsidP="00A80EDE">
      <w:pPr>
        <w:pStyle w:val="Numparagraphnormal"/>
        <w:suppressAutoHyphens/>
        <w:spacing w:before="0" w:after="160" w:line="259" w:lineRule="auto"/>
        <w:ind w:left="360"/>
      </w:pPr>
      <w:r w:rsidRPr="00A80EDE">
        <w:br w:type="page"/>
      </w:r>
    </w:p>
    <w:p w14:paraId="1095982F" w14:textId="77777777" w:rsidR="00A420EC" w:rsidRPr="00A80EDE" w:rsidRDefault="0091600E" w:rsidP="00A80EDE">
      <w:pPr>
        <w:pStyle w:val="Titlu1"/>
        <w:suppressAutoHyphens/>
        <w:rPr>
          <w:rFonts w:hint="eastAsia"/>
        </w:rPr>
      </w:pPr>
      <w:bookmarkStart w:id="11" w:name="_Toc207608279"/>
      <w:bookmarkStart w:id="12" w:name="_Toc216119108"/>
      <w:r w:rsidRPr="00A80EDE">
        <w:lastRenderedPageBreak/>
        <w:t>Methodology applied</w:t>
      </w:r>
      <w:bookmarkEnd w:id="11"/>
      <w:bookmarkEnd w:id="12"/>
    </w:p>
    <w:p w14:paraId="55FC1053" w14:textId="4184C776" w:rsidR="00A420EC" w:rsidRPr="00A80EDE" w:rsidRDefault="0091600E" w:rsidP="00A80EDE">
      <w:pPr>
        <w:pStyle w:val="Listparagraf"/>
        <w:numPr>
          <w:ilvl w:val="0"/>
          <w:numId w:val="16"/>
        </w:numPr>
        <w:suppressAutoHyphens/>
      </w:pPr>
      <w:r w:rsidRPr="00A80EDE">
        <w:t xml:space="preserve">The backbone of the </w:t>
      </w:r>
      <w:r w:rsidR="00620B46" w:rsidRPr="00A80EDE">
        <w:t>evaluation</w:t>
      </w:r>
      <w:r w:rsidRPr="00A80EDE">
        <w:t xml:space="preserve"> is the seven </w:t>
      </w:r>
      <w:r w:rsidR="00620B46" w:rsidRPr="00A80EDE">
        <w:t>evaluation</w:t>
      </w:r>
      <w:r w:rsidRPr="00A80EDE">
        <w:t xml:space="preserve"> questions, structured into two general questions (IE1 and IE2) and five secondary questions detailing the aspects to be analysed.</w:t>
      </w:r>
    </w:p>
    <w:p w14:paraId="420B2468" w14:textId="7D6D07BF" w:rsidR="00A420EC" w:rsidRPr="00A80EDE" w:rsidRDefault="0091600E" w:rsidP="00A80EDE">
      <w:pPr>
        <w:pStyle w:val="Numparagraphnormal"/>
        <w:numPr>
          <w:ilvl w:val="0"/>
          <w:numId w:val="19"/>
        </w:numPr>
        <w:suppressAutoHyphens/>
      </w:pPr>
      <w:r w:rsidRPr="00A80EDE">
        <w:t xml:space="preserve"> </w:t>
      </w:r>
      <w:r w:rsidR="00BD5613" w:rsidRPr="00A80EDE">
        <w:rPr>
          <w:b/>
          <w:bCs/>
        </w:rPr>
        <w:t>EQ</w:t>
      </w:r>
      <w:r w:rsidRPr="00A80EDE">
        <w:rPr>
          <w:b/>
          <w:bCs/>
        </w:rPr>
        <w:t>1</w:t>
      </w:r>
      <w:r w:rsidRPr="00A80EDE">
        <w:t>. To what extent are the institutional and organizational responsibilities for the implementation of the PR Center clearly defined, assumed and effectively implemented?</w:t>
      </w:r>
    </w:p>
    <w:p w14:paraId="408084F8" w14:textId="557CD8D0" w:rsidR="00A420EC" w:rsidRPr="00A80EDE" w:rsidRDefault="00BD5613" w:rsidP="00A80EDE">
      <w:pPr>
        <w:pStyle w:val="Listparagraf"/>
        <w:numPr>
          <w:ilvl w:val="0"/>
          <w:numId w:val="19"/>
        </w:numPr>
        <w:suppressAutoHyphens/>
      </w:pPr>
      <w:r w:rsidRPr="00A80EDE">
        <w:rPr>
          <w:b/>
          <w:bCs/>
        </w:rPr>
        <w:t>EQ</w:t>
      </w:r>
      <w:r w:rsidR="0091600E" w:rsidRPr="00A80EDE">
        <w:rPr>
          <w:b/>
          <w:bCs/>
        </w:rPr>
        <w:t>2</w:t>
      </w:r>
      <w:r w:rsidR="0091600E" w:rsidRPr="00A80EDE">
        <w:t>. What is the impact of decentralization on the regional development process, and on the administrative capacity (institutional, organizational and human) of the regional and local structures involved in the implementation of the PR Center?</w:t>
      </w:r>
    </w:p>
    <w:p w14:paraId="1D79FA1C" w14:textId="76C2B9AA" w:rsidR="00A420EC" w:rsidRPr="00A80EDE" w:rsidRDefault="00BD5613" w:rsidP="00A80EDE">
      <w:pPr>
        <w:pStyle w:val="Listparagraf"/>
        <w:numPr>
          <w:ilvl w:val="0"/>
          <w:numId w:val="20"/>
        </w:numPr>
        <w:suppressAutoHyphens/>
      </w:pPr>
      <w:r w:rsidRPr="00A80EDE">
        <w:rPr>
          <w:b/>
          <w:bCs/>
        </w:rPr>
        <w:t>EQ</w:t>
      </w:r>
      <w:r w:rsidR="0091600E" w:rsidRPr="00A80EDE">
        <w:rPr>
          <w:b/>
          <w:bCs/>
        </w:rPr>
        <w:t>3</w:t>
      </w:r>
      <w:r w:rsidR="0091600E" w:rsidRPr="00A80EDE">
        <w:t>. To what extent does the current regulatory framework contribute to strengthening the administrative capacity and facilitate the efficient implementation of the regional development policy through the PR Centre?</w:t>
      </w:r>
    </w:p>
    <w:p w14:paraId="6B7CB9BE" w14:textId="1A8EB348" w:rsidR="00A420EC" w:rsidRPr="00A80EDE" w:rsidRDefault="00BD5613" w:rsidP="00A80EDE">
      <w:pPr>
        <w:pStyle w:val="Listparagraf"/>
        <w:numPr>
          <w:ilvl w:val="0"/>
          <w:numId w:val="20"/>
        </w:numPr>
        <w:suppressAutoHyphens/>
      </w:pPr>
      <w:r w:rsidRPr="00A80EDE">
        <w:rPr>
          <w:b/>
          <w:bCs/>
        </w:rPr>
        <w:t>EQ</w:t>
      </w:r>
      <w:r w:rsidR="0091600E" w:rsidRPr="00A80EDE">
        <w:rPr>
          <w:b/>
          <w:bCs/>
        </w:rPr>
        <w:t>4</w:t>
      </w:r>
      <w:r w:rsidR="0091600E" w:rsidRPr="00A80EDE">
        <w:t xml:space="preserve">. How adequate is the availability of administrative resources (human, financial, logistical and material) for the efficient support of the implementation of the PR Center at the level of the </w:t>
      </w:r>
      <w:r w:rsidR="005F6FE9" w:rsidRPr="00A80EDE">
        <w:t xml:space="preserve">AM </w:t>
      </w:r>
      <w:r w:rsidR="0091600E" w:rsidRPr="00A80EDE">
        <w:t>and the beneficiaries?</w:t>
      </w:r>
    </w:p>
    <w:p w14:paraId="2AEEA95B" w14:textId="6F80829B" w:rsidR="00A420EC" w:rsidRPr="00A80EDE" w:rsidRDefault="00BD5613" w:rsidP="00A80EDE">
      <w:pPr>
        <w:pStyle w:val="Listparagraf"/>
        <w:numPr>
          <w:ilvl w:val="0"/>
          <w:numId w:val="20"/>
        </w:numPr>
        <w:suppressAutoHyphens/>
      </w:pPr>
      <w:r w:rsidRPr="00A80EDE">
        <w:rPr>
          <w:b/>
          <w:bCs/>
        </w:rPr>
        <w:t>EQ</w:t>
      </w:r>
      <w:r w:rsidR="0091600E" w:rsidRPr="00A80EDE">
        <w:rPr>
          <w:b/>
          <w:bCs/>
        </w:rPr>
        <w:t>5</w:t>
      </w:r>
      <w:r w:rsidR="0091600E" w:rsidRPr="00A80EDE">
        <w:t xml:space="preserve">. To what extent do the existing operational procedures at the </w:t>
      </w:r>
      <w:r w:rsidR="005F6FE9" w:rsidRPr="00A80EDE">
        <w:t xml:space="preserve">AM </w:t>
      </w:r>
      <w:r w:rsidR="0091600E" w:rsidRPr="00A80EDE">
        <w:t>level contribute to the administrative simplification and efficiency of the implementation of the PR Center, favoring an optimal absorption of funds?</w:t>
      </w:r>
    </w:p>
    <w:p w14:paraId="20E3E14D" w14:textId="4B44E8F6" w:rsidR="00A420EC" w:rsidRPr="00A80EDE" w:rsidRDefault="00BD5613" w:rsidP="00A80EDE">
      <w:pPr>
        <w:pStyle w:val="Listparagraf"/>
        <w:numPr>
          <w:ilvl w:val="0"/>
          <w:numId w:val="20"/>
        </w:numPr>
        <w:suppressAutoHyphens/>
      </w:pPr>
      <w:r w:rsidRPr="00A80EDE">
        <w:rPr>
          <w:b/>
          <w:bCs/>
        </w:rPr>
        <w:t>EQ</w:t>
      </w:r>
      <w:r w:rsidR="0091600E" w:rsidRPr="00A80EDE">
        <w:rPr>
          <w:b/>
          <w:bCs/>
        </w:rPr>
        <w:t>6</w:t>
      </w:r>
      <w:r w:rsidR="0091600E" w:rsidRPr="00A80EDE">
        <w:t>. To what extent does the decentralized implementation of the PR Center contribute to institutional development, strengthening administrative capacity and increasing the skills of the regional and local actors involved?</w:t>
      </w:r>
    </w:p>
    <w:p w14:paraId="61470742" w14:textId="6C12788C" w:rsidR="00A420EC" w:rsidRPr="00A80EDE" w:rsidRDefault="00BD5613" w:rsidP="00A80EDE">
      <w:pPr>
        <w:pStyle w:val="Listparagraf"/>
        <w:numPr>
          <w:ilvl w:val="0"/>
          <w:numId w:val="20"/>
        </w:numPr>
        <w:suppressAutoHyphens/>
      </w:pPr>
      <w:r w:rsidRPr="00A80EDE">
        <w:rPr>
          <w:b/>
          <w:bCs/>
        </w:rPr>
        <w:t>EQ</w:t>
      </w:r>
      <w:r w:rsidR="0091600E" w:rsidRPr="00A80EDE">
        <w:rPr>
          <w:b/>
          <w:bCs/>
        </w:rPr>
        <w:t>7</w:t>
      </w:r>
      <w:r w:rsidR="0091600E" w:rsidRPr="00A80EDE">
        <w:t>. To what extent does the implementation system and structure of the regional programme contribute to improving the accessibility of funds for the public and private sectors, to adapting it to the needs and capacity of local actors?</w:t>
      </w:r>
    </w:p>
    <w:p w14:paraId="7CEE6955" w14:textId="77777777" w:rsidR="00A420EC" w:rsidRPr="00A80EDE" w:rsidRDefault="0091600E" w:rsidP="00A80EDE">
      <w:pPr>
        <w:pStyle w:val="Titlu4"/>
        <w:suppressAutoHyphens/>
      </w:pPr>
      <w:r w:rsidRPr="00A80EDE">
        <w:t xml:space="preserve">Methodological approach </w:t>
      </w:r>
    </w:p>
    <w:p w14:paraId="614BD378" w14:textId="41191F19" w:rsidR="00A420EC" w:rsidRPr="00A80EDE" w:rsidRDefault="0091600E" w:rsidP="00A80EDE">
      <w:pPr>
        <w:pStyle w:val="Listparagraf"/>
        <w:numPr>
          <w:ilvl w:val="0"/>
          <w:numId w:val="16"/>
        </w:numPr>
        <w:suppressAutoHyphens/>
        <w:rPr>
          <w:lang w:eastAsia="ro-RO"/>
        </w:rPr>
      </w:pPr>
      <w:r w:rsidRPr="00A80EDE">
        <w:rPr>
          <w:b/>
        </w:rPr>
        <w:t>The methodology used has a predominantly qualitative profile</w:t>
      </w:r>
      <w:r w:rsidRPr="00A80EDE">
        <w:rPr>
          <w:lang w:eastAsia="ro-RO"/>
        </w:rPr>
        <w:t xml:space="preserve">, oriented towards a deep understanding of how the implementation system works in practice and the perceptions of the actors involved. Its design was calibrated at the initiation stage, through consultations with the </w:t>
      </w:r>
      <w:r w:rsidR="005F6FE9" w:rsidRPr="00A80EDE">
        <w:rPr>
          <w:lang w:eastAsia="ro-RO"/>
        </w:rPr>
        <w:t xml:space="preserve">AM </w:t>
      </w:r>
      <w:r w:rsidRPr="00A80EDE">
        <w:rPr>
          <w:lang w:eastAsia="ro-RO"/>
        </w:rPr>
        <w:t xml:space="preserve">PR Center and the Scientific Evaluation Committee (ESC), so that the questions and working tools respond to the real knowledge needs of the </w:t>
      </w:r>
      <w:r w:rsidR="005F6FE9" w:rsidRPr="00A80EDE">
        <w:rPr>
          <w:lang w:eastAsia="ro-RO"/>
        </w:rPr>
        <w:t xml:space="preserve">AM </w:t>
      </w:r>
      <w:r w:rsidRPr="00A80EDE">
        <w:rPr>
          <w:lang w:eastAsia="ro-RO"/>
        </w:rPr>
        <w:t>and the emerging challenges of the post-2027 period.</w:t>
      </w:r>
    </w:p>
    <w:p w14:paraId="34FC8A85" w14:textId="77777777" w:rsidR="00A420EC" w:rsidRPr="00A80EDE" w:rsidRDefault="0091600E" w:rsidP="00A80EDE">
      <w:pPr>
        <w:pStyle w:val="Listparagraf"/>
        <w:numPr>
          <w:ilvl w:val="0"/>
          <w:numId w:val="16"/>
        </w:numPr>
        <w:suppressAutoHyphens/>
      </w:pPr>
      <w:r w:rsidRPr="00A80EDE">
        <w:t xml:space="preserve">The approach was constantly oriented towards </w:t>
      </w:r>
      <w:r w:rsidRPr="00A80EDE">
        <w:rPr>
          <w:rFonts w:eastAsia="Times New Roman"/>
          <w:b/>
          <w:lang w:eastAsia="ro-RO"/>
        </w:rPr>
        <w:t>identifying solutions and institutional learning</w:t>
      </w:r>
      <w:r w:rsidRPr="00A80EDE">
        <w:t>. The interviews, focus groups and workshops were designed to facilitate collective reflection, causal analysis and the exploration of feasible solutions, capitalizing on both the knowledge of the AM teams and the experiences of beneficiaries and regional actors.</w:t>
      </w:r>
    </w:p>
    <w:p w14:paraId="575AE7AF" w14:textId="67A1B199" w:rsidR="00A420EC" w:rsidRPr="00A80EDE" w:rsidRDefault="0091600E" w:rsidP="00A80EDE">
      <w:pPr>
        <w:pStyle w:val="Listparagraf"/>
        <w:numPr>
          <w:ilvl w:val="0"/>
          <w:numId w:val="16"/>
        </w:numPr>
        <w:suppressAutoHyphens/>
      </w:pPr>
      <w:r w:rsidRPr="00A80EDE">
        <w:t>Data triangulation was the central method of ensuring the robustness and credibility of the conclusions. Information from documents, interviews, case studies, focus groups and surveys was compared and integrated to verify the consistency of observations and reduce the risk of bias. The surveys had a complementary role, being used mainly to collect the perceptions and experiences of a large number of respondents, not for statistical testing or quantitative inference.</w:t>
      </w:r>
    </w:p>
    <w:p w14:paraId="5576F678" w14:textId="4FDA19FF" w:rsidR="00A420EC" w:rsidRPr="00A80EDE" w:rsidRDefault="0091600E" w:rsidP="00A80EDE">
      <w:pPr>
        <w:pStyle w:val="Listparagraf"/>
        <w:numPr>
          <w:ilvl w:val="0"/>
          <w:numId w:val="16"/>
        </w:numPr>
        <w:suppressAutoHyphens/>
      </w:pPr>
      <w:r w:rsidRPr="00A80EDE">
        <w:t xml:space="preserve">The tools were continuously </w:t>
      </w:r>
      <w:r w:rsidR="0064166B" w:rsidRPr="00A80EDE">
        <w:t>calibrated,</w:t>
      </w:r>
      <w:r w:rsidRPr="00A80EDE">
        <w:t xml:space="preserve"> and the consistency of the data was checked internally and strengthened through validation sessions with stakeholders in the final stage. This iteration between collection, analysis and validation has allowed credible findings to be formulated, well anchored in the perspectives of the various relevant actors.</w:t>
      </w:r>
    </w:p>
    <w:p w14:paraId="4FDA47E3" w14:textId="5432E08D" w:rsidR="00A420EC" w:rsidRPr="00A80EDE" w:rsidRDefault="0091600E" w:rsidP="00A80EDE">
      <w:pPr>
        <w:pStyle w:val="Listparagraf"/>
        <w:numPr>
          <w:ilvl w:val="0"/>
          <w:numId w:val="16"/>
        </w:numPr>
        <w:suppressAutoHyphens/>
      </w:pPr>
      <w:r w:rsidRPr="00A80EDE">
        <w:rPr>
          <w:b/>
        </w:rPr>
        <w:t>The evaluation had a strong participatory character</w:t>
      </w:r>
      <w:r w:rsidRPr="00A80EDE">
        <w:t xml:space="preserve">, reflected in the way in which the data collection and validation activities were designed and implemented. All categories of stakeholders – AM staff, partner structures, </w:t>
      </w:r>
      <w:r w:rsidR="00F94785" w:rsidRPr="00A80EDE">
        <w:t>UAT</w:t>
      </w:r>
      <w:r w:rsidRPr="00A80EDE">
        <w:t xml:space="preserve">s, public institutions, SMEs, consultants, civil society organisations and academics – were involved in the process, contributing complementary perspectives on the functioning of the implementation system. The interviews, focus groups and workshops were organized as spaces </w:t>
      </w:r>
      <w:r w:rsidRPr="00A80EDE">
        <w:lastRenderedPageBreak/>
        <w:t xml:space="preserve">for dialogue, in which the participants were able to analyze together the challenges encountered and reflect on applicable solutions. This involvement facilitated both the validation of findings and a common understanding of the critical aspects of the programme, helping to strengthen institutional capacity for learning and adaptation. </w:t>
      </w:r>
    </w:p>
    <w:p w14:paraId="0404B7B2" w14:textId="77777777" w:rsidR="00A420EC" w:rsidRPr="00A80EDE" w:rsidRDefault="0091600E" w:rsidP="00A80EDE">
      <w:pPr>
        <w:pStyle w:val="Listparagraf"/>
        <w:numPr>
          <w:ilvl w:val="0"/>
          <w:numId w:val="16"/>
        </w:numPr>
        <w:suppressAutoHyphens/>
      </w:pPr>
      <w:r w:rsidRPr="00A80EDE">
        <w:rPr>
          <w:b/>
        </w:rPr>
        <w:t>The communication of the results of the evaluation</w:t>
      </w:r>
      <w:r w:rsidRPr="00A80EDE">
        <w:t xml:space="preserve"> has been designed to facilitate both quick access to the main findings and detailed analysis by interested readers. The final report presents a clear and easy-to-read synthesis, while the full analyses – including graphs, tables, interview extracts, restructured surveys and triangulation matrices – are integrated into Annex 1 and the methodological annexes. This dual structure allows the reader to get an immediate picture of the performance of the implementation system, but also to deepen the areas of interest by consulting the annexes.</w:t>
      </w:r>
    </w:p>
    <w:p w14:paraId="62E11F66" w14:textId="77777777" w:rsidR="00994EA0" w:rsidRPr="00A80EDE" w:rsidRDefault="00994EA0" w:rsidP="00A80EDE">
      <w:pPr>
        <w:pStyle w:val="Style2"/>
        <w:suppressAutoHyphens/>
        <w:ind w:left="0" w:firstLine="0"/>
        <w:rPr>
          <w:b/>
          <w:bCs/>
        </w:rPr>
      </w:pPr>
    </w:p>
    <w:p w14:paraId="4407CE2D" w14:textId="6C0E15C8" w:rsidR="00A420EC" w:rsidRPr="00A80EDE" w:rsidRDefault="00620B46" w:rsidP="00A80EDE">
      <w:pPr>
        <w:pStyle w:val="Style2"/>
        <w:numPr>
          <w:ilvl w:val="0"/>
          <w:numId w:val="32"/>
        </w:numPr>
        <w:suppressAutoHyphens/>
        <w:rPr>
          <w:b/>
          <w:bCs/>
        </w:rPr>
      </w:pPr>
      <w:r w:rsidRPr="00A80EDE">
        <w:rPr>
          <w:b/>
          <w:bCs/>
        </w:rPr>
        <w:t>Evaluation</w:t>
      </w:r>
      <w:r w:rsidR="0091600E" w:rsidRPr="00A80EDE">
        <w:rPr>
          <w:b/>
          <w:bCs/>
        </w:rPr>
        <w:t xml:space="preserve"> methods and tools applied</w:t>
      </w:r>
    </w:p>
    <w:p w14:paraId="33F2B151" w14:textId="77777777" w:rsidR="00994EA0" w:rsidRPr="00A80EDE" w:rsidRDefault="00994EA0" w:rsidP="00A80EDE">
      <w:pPr>
        <w:pStyle w:val="Style2"/>
        <w:suppressAutoHyphens/>
        <w:ind w:left="360" w:firstLine="0"/>
        <w:rPr>
          <w:b/>
          <w:bCs/>
        </w:rPr>
      </w:pPr>
    </w:p>
    <w:p w14:paraId="7A7D7C1F" w14:textId="77777777" w:rsidR="00A420EC" w:rsidRPr="00A80EDE" w:rsidRDefault="0091600E" w:rsidP="00A80EDE">
      <w:pPr>
        <w:pStyle w:val="Listparagraf"/>
        <w:numPr>
          <w:ilvl w:val="0"/>
          <w:numId w:val="16"/>
        </w:numPr>
        <w:suppressAutoHyphens/>
      </w:pPr>
      <w:r w:rsidRPr="00A80EDE">
        <w:rPr>
          <w:rFonts w:eastAsia="Times New Roman"/>
          <w:b/>
          <w:lang w:eastAsia="ro-RO"/>
        </w:rPr>
        <w:t xml:space="preserve">The desk review </w:t>
      </w:r>
      <w:r w:rsidRPr="00A80EDE">
        <w:rPr>
          <w:b/>
        </w:rPr>
        <w:t>included the review of key documents</w:t>
      </w:r>
      <w:r w:rsidRPr="00A80EDE">
        <w:rPr>
          <w:lang w:eastAsia="ro-RO"/>
        </w:rPr>
        <w:t xml:space="preserve"> on the organization and functioning of the system (QMS, legislation, internal procedures, call guides), strategic planning and monitoring documents (Performance Framework, implementation reports, Mid-Term Review), documents related to human resources and capacity development (Roadmap, training plans, HR procedures), as well as documents on financial and logistical support (Technical Assistance project sheets).</w:t>
      </w:r>
    </w:p>
    <w:p w14:paraId="3B0FA10E" w14:textId="6AFDBFD6" w:rsidR="00A420EC" w:rsidRPr="00A80EDE" w:rsidRDefault="0091600E" w:rsidP="00A80EDE">
      <w:pPr>
        <w:pStyle w:val="Listparagraf"/>
        <w:numPr>
          <w:ilvl w:val="0"/>
          <w:numId w:val="16"/>
        </w:numPr>
        <w:suppressAutoHyphens/>
      </w:pPr>
      <w:r w:rsidRPr="00A80EDE">
        <w:rPr>
          <w:rFonts w:eastAsia="Times New Roman"/>
          <w:b/>
          <w:lang w:eastAsia="ro-RO"/>
        </w:rPr>
        <w:t>Surveys</w:t>
      </w:r>
      <w:r w:rsidRPr="00A80EDE">
        <w:rPr>
          <w:b/>
        </w:rPr>
        <w:t xml:space="preserve"> were the main quantitative tool</w:t>
      </w:r>
      <w:r w:rsidRPr="00A80EDE">
        <w:rPr>
          <w:lang w:eastAsia="ro-RO"/>
        </w:rPr>
        <w:t xml:space="preserve">. The survey addressed to the staff of the </w:t>
      </w:r>
      <w:r w:rsidR="005F6FE9" w:rsidRPr="00A80EDE">
        <w:rPr>
          <w:lang w:eastAsia="ro-RO"/>
        </w:rPr>
        <w:t xml:space="preserve">AM </w:t>
      </w:r>
      <w:r w:rsidRPr="00A80EDE">
        <w:rPr>
          <w:lang w:eastAsia="ro-RO"/>
        </w:rPr>
        <w:t>recorded 93 responses out of 105 invitations (88% response rate, equivalent to a margin of error of ±2.21%). The survey of partner structures (CM, CRP, CRI) generated 77 responses out of 86 invitations (89% response rate, equivalent margin of error ±3.5%). The survey for beneficiaries had 201 responses out of 244 invitations (82% response rate, margin of error ±2.9%). These three datasets made it possible to capture a wide range of institutional and operational perceptions.</w:t>
      </w:r>
    </w:p>
    <w:p w14:paraId="61A27039" w14:textId="23B56630" w:rsidR="00A420EC" w:rsidRPr="00A80EDE" w:rsidRDefault="0091600E" w:rsidP="00A80EDE">
      <w:pPr>
        <w:pStyle w:val="Listparagraf"/>
        <w:numPr>
          <w:ilvl w:val="0"/>
          <w:numId w:val="16"/>
        </w:numPr>
        <w:suppressAutoHyphens/>
      </w:pPr>
      <w:r w:rsidRPr="00A80EDE">
        <w:rPr>
          <w:rFonts w:eastAsia="Times New Roman"/>
          <w:b/>
          <w:lang w:eastAsia="ro-RO"/>
        </w:rPr>
        <w:t>The semi-structured interviews</w:t>
      </w:r>
      <w:r w:rsidRPr="00A80EDE">
        <w:rPr>
          <w:b/>
        </w:rPr>
        <w:t xml:space="preserve"> complemented the quantitative data</w:t>
      </w:r>
      <w:r w:rsidRPr="00A80EDE">
        <w:rPr>
          <w:lang w:eastAsia="ro-RO"/>
        </w:rPr>
        <w:t xml:space="preserve"> through in-depth discussions with the </w:t>
      </w:r>
      <w:r w:rsidR="005F6FE9" w:rsidRPr="00A80EDE">
        <w:rPr>
          <w:lang w:eastAsia="ro-RO"/>
        </w:rPr>
        <w:t xml:space="preserve">AM </w:t>
      </w:r>
      <w:r w:rsidRPr="00A80EDE">
        <w:rPr>
          <w:lang w:eastAsia="ro-RO"/>
        </w:rPr>
        <w:t>staff (management and execution), partner structures (CJ, chambers of commerce, civil society) and relevant institutional factors (ADR management, ACP, ROREG). The interviews highlighted both strategic perspectives and operational aspects regarding implementation and administrative capacity.</w:t>
      </w:r>
    </w:p>
    <w:p w14:paraId="2FB82841" w14:textId="3EDD52F8" w:rsidR="00A420EC" w:rsidRPr="00A80EDE" w:rsidRDefault="0091600E" w:rsidP="00A80EDE">
      <w:pPr>
        <w:pStyle w:val="Listparagraf"/>
        <w:numPr>
          <w:ilvl w:val="0"/>
          <w:numId w:val="16"/>
        </w:numPr>
        <w:suppressAutoHyphens/>
      </w:pPr>
      <w:r w:rsidRPr="00A80EDE">
        <w:rPr>
          <w:rFonts w:eastAsia="Times New Roman"/>
          <w:b/>
          <w:lang w:eastAsia="ro-RO"/>
        </w:rPr>
        <w:t>The case studies</w:t>
      </w:r>
      <w:r w:rsidRPr="00A80EDE">
        <w:rPr>
          <w:b/>
        </w:rPr>
        <w:t xml:space="preserve"> targeted three types of </w:t>
      </w:r>
      <w:r w:rsidR="00F94785" w:rsidRPr="00A80EDE">
        <w:rPr>
          <w:b/>
        </w:rPr>
        <w:t>UAT</w:t>
      </w:r>
      <w:r w:rsidRPr="00A80EDE">
        <w:rPr>
          <w:b/>
        </w:rPr>
        <w:t>s</w:t>
      </w:r>
      <w:r w:rsidRPr="00A80EDE">
        <w:rPr>
          <w:lang w:eastAsia="ro-RO"/>
        </w:rPr>
        <w:t xml:space="preserve"> (commune, city, municipality) to analyze the differences in administrative capacity and the distinct way in which the beneficiaries interact with the implementation system. </w:t>
      </w:r>
      <w:r w:rsidR="0064166B" w:rsidRPr="00A80EDE">
        <w:rPr>
          <w:lang w:eastAsia="ro-RO"/>
        </w:rPr>
        <w:t>Benchmarking</w:t>
      </w:r>
      <w:r w:rsidRPr="00A80EDE">
        <w:rPr>
          <w:lang w:eastAsia="ro-RO"/>
        </w:rPr>
        <w:t xml:space="preserve"> allowed the correlation of local challenges with those identified at regional level.</w:t>
      </w:r>
    </w:p>
    <w:p w14:paraId="46ED0E85" w14:textId="69485395" w:rsidR="00A420EC" w:rsidRPr="00A80EDE" w:rsidRDefault="0091600E" w:rsidP="00A80EDE">
      <w:pPr>
        <w:pStyle w:val="Listparagraf"/>
        <w:numPr>
          <w:ilvl w:val="0"/>
          <w:numId w:val="16"/>
        </w:numPr>
        <w:suppressAutoHyphens/>
      </w:pPr>
      <w:r w:rsidRPr="00A80EDE">
        <w:rPr>
          <w:rFonts w:eastAsia="Times New Roman"/>
          <w:b/>
          <w:lang w:eastAsia="ro-RO"/>
        </w:rPr>
        <w:t>The focus groups</w:t>
      </w:r>
      <w:r w:rsidRPr="00A80EDE">
        <w:rPr>
          <w:b/>
        </w:rPr>
        <w:t xml:space="preserve"> were organised with both AM staff and regional actors</w:t>
      </w:r>
      <w:r w:rsidRPr="00A80EDE">
        <w:rPr>
          <w:lang w:eastAsia="ro-RO"/>
        </w:rPr>
        <w:t xml:space="preserve"> (private sector, civil society, academia), providing a framework for validating findings and formulating recommendations. The AM focus group facilitated the discussion of interpretations and solutions at managerial level.</w:t>
      </w:r>
    </w:p>
    <w:p w14:paraId="0F52D40B" w14:textId="37A51FAF" w:rsidR="00A420EC" w:rsidRPr="00A80EDE" w:rsidRDefault="0091600E" w:rsidP="00A80EDE">
      <w:pPr>
        <w:pStyle w:val="Listparagraf"/>
        <w:numPr>
          <w:ilvl w:val="0"/>
          <w:numId w:val="16"/>
        </w:numPr>
        <w:suppressAutoHyphens/>
      </w:pPr>
      <w:r w:rsidRPr="00A80EDE">
        <w:rPr>
          <w:rFonts w:eastAsia="Times New Roman"/>
          <w:b/>
          <w:lang w:eastAsia="ro-RO"/>
        </w:rPr>
        <w:t>The workshop with consultants</w:t>
      </w:r>
      <w:r w:rsidRPr="00A80EDE">
        <w:rPr>
          <w:b/>
        </w:rPr>
        <w:t xml:space="preserve"> brought </w:t>
      </w:r>
      <w:r w:rsidR="0064166B" w:rsidRPr="00A80EDE">
        <w:rPr>
          <w:b/>
        </w:rPr>
        <w:t>practical</w:t>
      </w:r>
      <w:r w:rsidRPr="00A80EDE">
        <w:rPr>
          <w:b/>
        </w:rPr>
        <w:t xml:space="preserve"> perspective</w:t>
      </w:r>
      <w:r w:rsidRPr="00A80EDE">
        <w:rPr>
          <w:lang w:eastAsia="ro-RO"/>
        </w:rPr>
        <w:t xml:space="preserve"> on the difficulties encountered in the development and implementation of projects, while the panel of experts (mobility, territorial development, cohesion, implementation systems, S3) contributed to the formulation of conclusions and directions for the post-2027 period.</w:t>
      </w:r>
    </w:p>
    <w:p w14:paraId="779D67A9" w14:textId="77777777" w:rsidR="00A420EC" w:rsidRPr="00A80EDE" w:rsidRDefault="0091600E" w:rsidP="00A80EDE">
      <w:pPr>
        <w:pStyle w:val="Listparagraf"/>
        <w:numPr>
          <w:ilvl w:val="0"/>
          <w:numId w:val="16"/>
        </w:numPr>
        <w:suppressAutoHyphens/>
        <w:rPr>
          <w:lang w:eastAsia="ro-RO"/>
        </w:rPr>
      </w:pPr>
      <w:r w:rsidRPr="00A80EDE">
        <w:rPr>
          <w:b/>
        </w:rPr>
        <w:t>The full methodology for each instrument</w:t>
      </w:r>
      <w:r w:rsidRPr="00A80EDE">
        <w:rPr>
          <w:lang w:eastAsia="ro-RO"/>
        </w:rPr>
        <w:t xml:space="preserve"> – including working tools, interview guides, survey structure, sampling criteria and technical details of triangulation – is presented in Annexes 2, 3, 4 and 5 of the report.</w:t>
      </w:r>
    </w:p>
    <w:p w14:paraId="6C9EAB0A" w14:textId="77777777" w:rsidR="00A420EC" w:rsidRPr="00A80EDE" w:rsidRDefault="0091600E" w:rsidP="00A80EDE">
      <w:pPr>
        <w:pStyle w:val="Titlu2"/>
        <w:suppressAutoHyphens/>
        <w:rPr>
          <w:rFonts w:ascii="Arial" w:hAnsi="Arial"/>
        </w:rPr>
      </w:pPr>
      <w:bookmarkStart w:id="13" w:name="_Toc207608285"/>
      <w:bookmarkStart w:id="14" w:name="_Toc216119109"/>
      <w:r w:rsidRPr="00A80EDE">
        <w:t>Challenges, methodological limitations and applied solutions</w:t>
      </w:r>
      <w:bookmarkEnd w:id="13"/>
      <w:bookmarkEnd w:id="14"/>
    </w:p>
    <w:p w14:paraId="1E148729" w14:textId="4BC4D473" w:rsidR="00A420EC" w:rsidRPr="00A80EDE" w:rsidRDefault="0091600E" w:rsidP="00A80EDE">
      <w:pPr>
        <w:pStyle w:val="Listparagraf"/>
        <w:numPr>
          <w:ilvl w:val="0"/>
          <w:numId w:val="16"/>
        </w:numPr>
        <w:suppressAutoHyphens/>
      </w:pPr>
      <w:r w:rsidRPr="00A80EDE">
        <w:t xml:space="preserve">The evaluation process of the PR Center's implementation was designed to cover a wide spectrum of actors and perspectives, but along the way a series of methodological challenges were encountered determined by both external factors and internal constraints. The low availability of some categories of </w:t>
      </w:r>
      <w:r w:rsidRPr="00A80EDE">
        <w:lastRenderedPageBreak/>
        <w:t xml:space="preserve">stakeholders – in particular members of partner structures (CM, CRP, CRI) and representatives of the business environment – influenced the initial participation rate in surveys and interviews. The low participation partly reflects the general overload with survey requests from parallel evaluations of the PR Centre, other national programmes or the European Commission, with a greater impact on </w:t>
      </w:r>
      <w:r w:rsidR="00F94785" w:rsidRPr="00A80EDE">
        <w:t>UAT</w:t>
      </w:r>
      <w:r w:rsidRPr="00A80EDE">
        <w:t>s, eligible on numerous funding lines.</w:t>
      </w:r>
    </w:p>
    <w:p w14:paraId="1491F25C" w14:textId="402FF6F5" w:rsidR="00A420EC" w:rsidRPr="00A80EDE" w:rsidRDefault="0091600E" w:rsidP="00A80EDE">
      <w:pPr>
        <w:pStyle w:val="Listparagraf"/>
        <w:numPr>
          <w:ilvl w:val="0"/>
          <w:numId w:val="16"/>
        </w:numPr>
        <w:suppressAutoHyphens/>
      </w:pPr>
      <w:r w:rsidRPr="00A80EDE">
        <w:t xml:space="preserve">To increase participation, the evaluation team adopted a set of proactive solutions, including direct and repeated contact with key actors, sending reminders through the official channels of the </w:t>
      </w:r>
      <w:r w:rsidR="00265A17" w:rsidRPr="00A80EDE">
        <w:t>AM</w:t>
      </w:r>
      <w:r w:rsidRPr="00A80EDE">
        <w:t>, extending collection periods and introducing an incentive mechanism for beneficiaries and partners: a donation of €5 per completed questionnaire, directed to the Praid community, severely affected by the collapse of the salt mine. This measure significantly improved the participation rate and strengthened respondent engagement. In total, 122 questionnaires were completed under this mechanism, and the consortium of companies responsible for carrying out the evaluation will direct a donation of €610 to the Praid community, as a gesture of social responsibility and appreciation for the respondents' effort.</w:t>
      </w:r>
    </w:p>
    <w:p w14:paraId="3E0B6B52" w14:textId="3FB983E3" w:rsidR="00A420EC" w:rsidRPr="00A80EDE" w:rsidRDefault="0091600E" w:rsidP="00A80EDE">
      <w:pPr>
        <w:pStyle w:val="Listparagraf"/>
        <w:numPr>
          <w:ilvl w:val="0"/>
          <w:numId w:val="16"/>
        </w:numPr>
        <w:suppressAutoHyphens/>
      </w:pPr>
      <w:r w:rsidRPr="00A80EDE">
        <w:t>The surveys were applied exhaustively, which is possible due to the small size of the target populations. In this context, the surveys had a descriptive character, oriented towards capturing the actors' perceptions, not towards testing hypotheses. Other limitations stemmed from the high complexity of the implementation system, which makes it difficult to detail all its elements. As a result, the analysis focused on the aspects considered critical for the performance of the system (efficiency, effectiveness, impact), as evidenced by the feedback received during interactions with stakeholders. In the final validation stage, the discussions were structured on topics perceived by the participants as the most relevant for the functioning of the system, even if they sometimes went beyond the strict delimitation of the evaluation questions.</w:t>
      </w:r>
    </w:p>
    <w:p w14:paraId="5720EF98" w14:textId="0021813E" w:rsidR="00A420EC" w:rsidRPr="00A80EDE" w:rsidRDefault="0091600E" w:rsidP="00A80EDE">
      <w:pPr>
        <w:pStyle w:val="Listparagraf"/>
        <w:numPr>
          <w:ilvl w:val="0"/>
          <w:numId w:val="16"/>
        </w:numPr>
        <w:suppressAutoHyphens/>
      </w:pPr>
      <w:r w:rsidRPr="00A80EDE">
        <w:t xml:space="preserve">As regards the internal surveys applied to the AM staff, the risk of subjectivity generated by the organizational context was taken into account. In order to minimize these risks, the complete anonymity of the respondents was guaranteed, a measure explicitly communicated before filling in the questionnaires. The data obtained </w:t>
      </w:r>
      <w:r w:rsidR="0064166B" w:rsidRPr="00A80EDE">
        <w:t>was</w:t>
      </w:r>
      <w:r w:rsidRPr="00A80EDE">
        <w:t xml:space="preserve"> then correlated with information from confidential interviews to ensure the consistency and credibility of the conclusions.</w:t>
      </w:r>
    </w:p>
    <w:p w14:paraId="25948D03" w14:textId="77777777" w:rsidR="00A420EC" w:rsidRPr="00A80EDE" w:rsidRDefault="00A420EC" w:rsidP="00A80EDE">
      <w:pPr>
        <w:suppressAutoHyphens/>
      </w:pPr>
    </w:p>
    <w:p w14:paraId="4EF26A0E" w14:textId="77777777" w:rsidR="00A420EC" w:rsidRPr="00A80EDE" w:rsidRDefault="00A420EC" w:rsidP="00A80EDE">
      <w:pPr>
        <w:suppressAutoHyphens/>
      </w:pPr>
    </w:p>
    <w:p w14:paraId="44DB7D3E" w14:textId="77777777" w:rsidR="00A420EC" w:rsidRPr="00A80EDE" w:rsidRDefault="00A420EC" w:rsidP="00A80EDE">
      <w:pPr>
        <w:suppressAutoHyphens/>
      </w:pPr>
    </w:p>
    <w:p w14:paraId="33608B6A" w14:textId="77777777" w:rsidR="00A420EC" w:rsidRPr="00A80EDE" w:rsidRDefault="00A420EC" w:rsidP="00A80EDE">
      <w:pPr>
        <w:suppressAutoHyphens/>
      </w:pPr>
    </w:p>
    <w:p w14:paraId="19D13DD2" w14:textId="77777777" w:rsidR="00A420EC" w:rsidRPr="00A80EDE" w:rsidRDefault="00A420EC" w:rsidP="00A80EDE">
      <w:pPr>
        <w:suppressAutoHyphens/>
      </w:pPr>
    </w:p>
    <w:p w14:paraId="0B3D72BD" w14:textId="4643318F" w:rsidR="00A420EC" w:rsidRPr="00A80EDE" w:rsidRDefault="0068468A" w:rsidP="00A80EDE">
      <w:pPr>
        <w:suppressAutoHyphens/>
        <w:spacing w:before="0" w:after="160" w:line="259" w:lineRule="auto"/>
        <w:jc w:val="left"/>
      </w:pPr>
      <w:r w:rsidRPr="00A80EDE">
        <w:br w:type="page"/>
      </w:r>
    </w:p>
    <w:p w14:paraId="50D24307" w14:textId="77777777" w:rsidR="00A420EC" w:rsidRPr="00A80EDE" w:rsidRDefault="0091600E" w:rsidP="00A80EDE">
      <w:pPr>
        <w:pStyle w:val="Titlu1"/>
        <w:suppressAutoHyphens/>
        <w:rPr>
          <w:rFonts w:hint="eastAsia"/>
        </w:rPr>
      </w:pPr>
      <w:bookmarkStart w:id="15" w:name="_Toc207608286"/>
      <w:bookmarkStart w:id="16" w:name="_Toc216119110"/>
      <w:r w:rsidRPr="00A80EDE">
        <w:lastRenderedPageBreak/>
        <w:t>Summary of evaluation findings</w:t>
      </w:r>
      <w:bookmarkEnd w:id="15"/>
      <w:bookmarkEnd w:id="16"/>
    </w:p>
    <w:p w14:paraId="2D625489" w14:textId="77777777" w:rsidR="00A420EC" w:rsidRPr="00A80EDE" w:rsidRDefault="0091600E" w:rsidP="00A80EDE">
      <w:pPr>
        <w:pStyle w:val="Titlu2"/>
        <w:suppressAutoHyphens/>
        <w:rPr>
          <w:rFonts w:hint="eastAsia"/>
        </w:rPr>
      </w:pPr>
      <w:bookmarkStart w:id="17" w:name="_Toc207608287"/>
      <w:bookmarkStart w:id="18" w:name="_Toc216119111"/>
      <w:r w:rsidRPr="00A80EDE">
        <w:t>IE1. To what extent are the institutional and organizational responsibilities for the implementation of the PR Center clearly defined, assumed and effectively implemented?</w:t>
      </w:r>
      <w:bookmarkEnd w:id="17"/>
      <w:bookmarkEnd w:id="18"/>
    </w:p>
    <w:p w14:paraId="3051E250" w14:textId="77777777" w:rsidR="00A420EC" w:rsidRPr="00A80EDE" w:rsidRDefault="0091600E" w:rsidP="00A80EDE">
      <w:pPr>
        <w:pStyle w:val="Titlu4"/>
        <w:suppressAutoHyphens/>
      </w:pPr>
      <w:r w:rsidRPr="00A80EDE">
        <w:t xml:space="preserve">Summary of findings </w:t>
      </w:r>
    </w:p>
    <w:p w14:paraId="5063E909" w14:textId="15DBCF51" w:rsidR="00A420EC" w:rsidRPr="00A80EDE" w:rsidRDefault="0091600E" w:rsidP="00A80EDE">
      <w:pPr>
        <w:pStyle w:val="Listparagraf"/>
        <w:numPr>
          <w:ilvl w:val="0"/>
          <w:numId w:val="16"/>
        </w:numPr>
        <w:suppressAutoHyphens/>
        <w:rPr>
          <w:lang w:eastAsia="ro-RO"/>
        </w:rPr>
      </w:pPr>
      <w:r w:rsidRPr="00A80EDE">
        <w:rPr>
          <w:b/>
          <w:lang w:eastAsia="ro-RO"/>
        </w:rPr>
        <w:t xml:space="preserve">The institutional and organizational responsibilities within the PR Center are clearly defined and well assumed, both formally and operationally. </w:t>
      </w:r>
      <w:r w:rsidRPr="00A80EDE">
        <w:rPr>
          <w:lang w:eastAsia="ro-RO"/>
        </w:rPr>
        <w:t xml:space="preserve">The programme documents provide a solid and coherent framework, and the </w:t>
      </w:r>
      <w:r w:rsidR="005F6FE9" w:rsidRPr="00A80EDE">
        <w:rPr>
          <w:lang w:eastAsia="ro-RO"/>
        </w:rPr>
        <w:t xml:space="preserve">AM </w:t>
      </w:r>
      <w:r w:rsidRPr="00A80EDE">
        <w:rPr>
          <w:lang w:eastAsia="ro-RO"/>
        </w:rPr>
        <w:t>staff know and apply the tasks effectively, supported by the experience gained and direct involvement in defining and adjusting procedures. The organisational structure has gradually evolved and adapted to the tasks and workload of the implementation stages, allowing for an adequate distribution of tasks and a constant functioning of procedural flows.</w:t>
      </w:r>
    </w:p>
    <w:p w14:paraId="23EFCD2C" w14:textId="0B21D944" w:rsidR="00A420EC" w:rsidRPr="00A80EDE" w:rsidRDefault="0091600E" w:rsidP="00A80EDE">
      <w:pPr>
        <w:pStyle w:val="Listparagraf"/>
        <w:numPr>
          <w:ilvl w:val="0"/>
          <w:numId w:val="16"/>
        </w:numPr>
        <w:suppressAutoHyphens/>
        <w:rPr>
          <w:lang w:eastAsia="ro-RO"/>
        </w:rPr>
      </w:pPr>
      <w:r w:rsidRPr="00A80EDE">
        <w:rPr>
          <w:lang w:eastAsia="ro-RO"/>
        </w:rPr>
        <w:t xml:space="preserve">Although the procedures are perceived as clear and consistent, their application is sometimes hampered by non-uniform interpretations between the central institutions and the </w:t>
      </w:r>
      <w:r w:rsidR="00265A17" w:rsidRPr="00A80EDE">
        <w:rPr>
          <w:lang w:eastAsia="ro-RO"/>
        </w:rPr>
        <w:t>AM</w:t>
      </w:r>
      <w:r w:rsidRPr="00A80EDE">
        <w:rPr>
          <w:lang w:eastAsia="ro-RO"/>
        </w:rPr>
        <w:t>, which can lead to errors and risks of financial corrections. This points to the need for a more stable interpretative framework and enhanced coordination at national level.</w:t>
      </w:r>
    </w:p>
    <w:p w14:paraId="10FCC4CE" w14:textId="740D266C" w:rsidR="007110BA" w:rsidRPr="00A80EDE" w:rsidRDefault="0091600E" w:rsidP="00A80EDE">
      <w:pPr>
        <w:pStyle w:val="Listparagraf"/>
        <w:numPr>
          <w:ilvl w:val="0"/>
          <w:numId w:val="16"/>
        </w:numPr>
        <w:suppressAutoHyphens/>
        <w:rPr>
          <w:lang w:eastAsia="ro-RO"/>
        </w:rPr>
      </w:pPr>
      <w:r w:rsidRPr="00A80EDE">
        <w:t xml:space="preserve">The partnership structures are well defined, with clear roles and a representative composition for the entire regional ecosystem. Participation tends to be more consistent among public actors, who have administrative capacity and direct interest in the programme, while civil society and the business community perceive their participation as most often oriented towards compliance or approval, rather than substantial and creative contributions. </w:t>
      </w:r>
    </w:p>
    <w:p w14:paraId="61645819" w14:textId="24F826E2" w:rsidR="00C647D0" w:rsidRPr="00A80EDE" w:rsidRDefault="00067D05" w:rsidP="00A80EDE">
      <w:pPr>
        <w:pStyle w:val="Listparagraf"/>
        <w:numPr>
          <w:ilvl w:val="0"/>
          <w:numId w:val="16"/>
        </w:numPr>
        <w:suppressAutoHyphens/>
        <w:rPr>
          <w:lang w:eastAsia="ro-RO"/>
        </w:rPr>
      </w:pPr>
      <w:r w:rsidRPr="00A80EDE">
        <w:rPr>
          <w:lang w:eastAsia="ro-RO"/>
        </w:rPr>
        <w:t xml:space="preserve">AM makes constant efforts to improve communication and involvement of partners, including by presenting information in simple, easy-to-use formats and sending personalized feedback for the proposals made. However, for some partners, participation remains demanding, mainly due to the high volume of documents and the time required to analyse them, and their influence on the programme is limited.  </w:t>
      </w:r>
    </w:p>
    <w:p w14:paraId="046D82D3" w14:textId="4A7F42A5" w:rsidR="00A420EC" w:rsidRPr="00A80EDE" w:rsidRDefault="00B109C7" w:rsidP="00A80EDE">
      <w:pPr>
        <w:pStyle w:val="Listparagraf"/>
        <w:numPr>
          <w:ilvl w:val="0"/>
          <w:numId w:val="16"/>
        </w:numPr>
        <w:suppressAutoHyphens/>
        <w:rPr>
          <w:lang w:eastAsia="ro-RO"/>
        </w:rPr>
      </w:pPr>
      <w:r w:rsidRPr="00A80EDE">
        <w:rPr>
          <w:lang w:eastAsia="ro-RO"/>
        </w:rPr>
        <w:t xml:space="preserve">In this first programming exercise, the reduced flexibility of policy objectives and pre-set allocations limited the creative contribution of partners, sometimes generating the perception of a compliance process. A more flexible funding framework could create the premises for a more consistent involvement of all partners, capitalizing on their original contributions and gradually strengthening the sense of influence and ownership over the strategic directions of the programme. In such a context, </w:t>
      </w:r>
      <w:r w:rsidR="00F94785" w:rsidRPr="00A80EDE">
        <w:rPr>
          <w:lang w:eastAsia="ro-RO"/>
        </w:rPr>
        <w:t xml:space="preserve">ADR Centre </w:t>
      </w:r>
      <w:r w:rsidRPr="00A80EDE">
        <w:rPr>
          <w:lang w:eastAsia="ro-RO"/>
        </w:rPr>
        <w:t>could extend participatory tools such as territorial laboratories, entrepreneurial discovery processes already implemented, or approaches inspired by international initiatives, in order to strengthen a co-creation framework accessible to all actors, including the business environment and civil society.</w:t>
      </w:r>
    </w:p>
    <w:p w14:paraId="7840968A" w14:textId="77777777" w:rsidR="00A420EC" w:rsidRPr="00A80EDE" w:rsidRDefault="0091600E" w:rsidP="00A80EDE">
      <w:pPr>
        <w:pStyle w:val="Titlu4"/>
        <w:suppressAutoHyphens/>
      </w:pPr>
      <w:r w:rsidRPr="00A80EDE">
        <w:t xml:space="preserve">Defining the responsibilities of management structures </w:t>
      </w:r>
    </w:p>
    <w:p w14:paraId="60DC2DAF" w14:textId="0D7E1FE5" w:rsidR="00A420EC" w:rsidRPr="00A80EDE" w:rsidRDefault="0091600E" w:rsidP="00A80EDE">
      <w:pPr>
        <w:pStyle w:val="Style2"/>
        <w:numPr>
          <w:ilvl w:val="0"/>
          <w:numId w:val="16"/>
        </w:numPr>
        <w:suppressAutoHyphens/>
      </w:pPr>
      <w:bookmarkStart w:id="19" w:name="_Toc207608288"/>
      <w:r w:rsidRPr="00A80EDE">
        <w:rPr>
          <w:b/>
        </w:rPr>
        <w:t>The responsibilities of the PR Centre's management structures are clearly defined in official documents</w:t>
      </w:r>
      <w:r w:rsidR="003D4438" w:rsidRPr="00A80EDE">
        <w:t>, such as the ROF, the Management and Control System Description (DS SMC) and the operational procedures, and these documents highlight the separation of functions, the traceability of decisions and compliance with European requirements. The documentary analysis shows a coherent distribution of the tasks of the AM PR Center in evaluation, contracting, monitoring, verification and management of irregularities, reflecting the expansion of competences at regional level following decentralization. The procedures are well structured and linked to the national and European framework, facilitating the uniform application of workflows.</w:t>
      </w:r>
    </w:p>
    <w:p w14:paraId="79D16EA8" w14:textId="4ACDC63C" w:rsidR="00A420EC" w:rsidRPr="00A80EDE" w:rsidRDefault="0091600E" w:rsidP="00A80EDE">
      <w:pPr>
        <w:pStyle w:val="Style2"/>
        <w:numPr>
          <w:ilvl w:val="0"/>
          <w:numId w:val="16"/>
        </w:numPr>
        <w:suppressAutoHyphens/>
      </w:pPr>
      <w:r w:rsidRPr="00A80EDE">
        <w:t xml:space="preserve">Interviews with management and execution staff confirm that </w:t>
      </w:r>
      <w:r w:rsidRPr="00A80EDE">
        <w:rPr>
          <w:b/>
        </w:rPr>
        <w:t>responsibilities are well understood and assumed</w:t>
      </w:r>
      <w:r w:rsidRPr="00A80EDE">
        <w:t xml:space="preserve">, and this clarity is supported both by the experience gained and by the direct involvement of the teams in the development of the procedures. </w:t>
      </w:r>
      <w:r w:rsidR="0064166B" w:rsidRPr="00A80EDE">
        <w:t>Adaptation</w:t>
      </w:r>
      <w:r w:rsidRPr="00A80EDE">
        <w:t xml:space="preserve"> to new activities, such as the resolution of appeals, additional verifications or the new audit requirements, was carried out starting from the </w:t>
      </w:r>
      <w:r w:rsidRPr="00A80EDE">
        <w:lastRenderedPageBreak/>
        <w:t xml:space="preserve">procedures used in the previous period and adjusting them to the new European requirements: </w:t>
      </w:r>
      <w:r w:rsidRPr="00A80EDE">
        <w:rPr>
          <w:i/>
        </w:rPr>
        <w:t>"we started from the procedures of the previous period, adapting them to the new regulations".</w:t>
      </w:r>
    </w:p>
    <w:p w14:paraId="728F2C4C" w14:textId="2CAD0DE0" w:rsidR="00A420EC" w:rsidRPr="00A80EDE" w:rsidRDefault="0091600E" w:rsidP="00A80EDE">
      <w:pPr>
        <w:pStyle w:val="Style2"/>
        <w:numPr>
          <w:ilvl w:val="0"/>
          <w:numId w:val="16"/>
        </w:numPr>
        <w:suppressAutoHyphens/>
      </w:pPr>
      <w:r w:rsidRPr="00A80EDE">
        <w:rPr>
          <w:b/>
        </w:rPr>
        <w:t xml:space="preserve">The organizational structure of the </w:t>
      </w:r>
      <w:r w:rsidR="005F6FE9" w:rsidRPr="00A80EDE">
        <w:rPr>
          <w:b/>
        </w:rPr>
        <w:t xml:space="preserve">AM </w:t>
      </w:r>
      <w:r w:rsidRPr="00A80EDE">
        <w:rPr>
          <w:b/>
        </w:rPr>
        <w:t>has developed gradually and adaptively</w:t>
      </w:r>
      <w:r w:rsidRPr="00A80EDE">
        <w:t xml:space="preserve">, in line with the pace of launch and the evolution of the stages of the program. The interviews emphasize that the allocation of resources was flexible, adapted to peak periods: </w:t>
      </w:r>
      <w:r w:rsidRPr="00A80EDE">
        <w:rPr>
          <w:i/>
        </w:rPr>
        <w:t>"If we knew that evaluation or contracting was coming, we would fill the necessary positions".</w:t>
      </w:r>
      <w:r w:rsidRPr="00A80EDE">
        <w:t xml:space="preserve"> This adaptability has contributed to the functionality of the system and to maintaining a constant pace of implementation.</w:t>
      </w:r>
    </w:p>
    <w:p w14:paraId="79A356D1" w14:textId="57D17F1C" w:rsidR="00A420EC" w:rsidRPr="00A80EDE" w:rsidRDefault="0091600E" w:rsidP="00A80EDE">
      <w:pPr>
        <w:pStyle w:val="Style2"/>
        <w:numPr>
          <w:ilvl w:val="0"/>
          <w:numId w:val="16"/>
        </w:numPr>
        <w:suppressAutoHyphens/>
      </w:pPr>
      <w:r w:rsidRPr="00A80EDE">
        <w:t xml:space="preserve">The transition to the status of Managing Authority has generated inherent challenges, especially in the initial phase, related to the configuration of procedures, synchronisation with IT systems and coordination with central institutions. In the survey, 61% of respondents indicated difficulties at the beginning of the period, associated in particular with the high volume of documentation and the need for clarifications from MIPE, ANAP and ACP. The interviews confirm these challenges, with one respondent mentioning: </w:t>
      </w:r>
      <w:r w:rsidRPr="00A80EDE">
        <w:rPr>
          <w:i/>
        </w:rPr>
        <w:t>"we had difficulties in developing the procedures, because the IT system was not yet functional".</w:t>
      </w:r>
      <w:r w:rsidRPr="00A80EDE">
        <w:t xml:space="preserve"> Although these difficulties have been gradually overcome, the issue of non-unitary interpretations remains one of the significant challenges of implementation, as reported by 47% of respondents, especially among the execution staff.</w:t>
      </w:r>
    </w:p>
    <w:p w14:paraId="0A468FD5" w14:textId="7E7F25F5" w:rsidR="00A420EC" w:rsidRPr="00A80EDE" w:rsidRDefault="0091600E" w:rsidP="00A80EDE">
      <w:pPr>
        <w:pStyle w:val="Style2"/>
        <w:numPr>
          <w:ilvl w:val="0"/>
          <w:numId w:val="16"/>
        </w:numPr>
        <w:suppressAutoHyphens/>
      </w:pPr>
      <w:r w:rsidRPr="00A80EDE">
        <w:t xml:space="preserve">According to the responses collected in </w:t>
      </w:r>
      <w:r w:rsidRPr="00A80EDE">
        <w:rPr>
          <w:color w:val="0070C0"/>
        </w:rPr>
        <w:t>the survey</w:t>
      </w:r>
      <w:r w:rsidRPr="00A80EDE">
        <w:t xml:space="preserve"> applied to the AM staff, the main difficulties in the process of creating the implementation system were the creation of the new institutional framework followed by the implementation of the new workflows, the coordination with other institutional structures, and the increase in the volume of administrative documentation as a result of the introduction of new functions. These findings are also confirmed by </w:t>
      </w:r>
      <w:r w:rsidRPr="00A80EDE">
        <w:rPr>
          <w:color w:val="0070C0"/>
        </w:rPr>
        <w:t>the interviews</w:t>
      </w:r>
      <w:r w:rsidRPr="00A80EDE">
        <w:t xml:space="preserve"> conducted with the AM structures: </w:t>
      </w:r>
    </w:p>
    <w:p w14:paraId="42D9B25A" w14:textId="2C98CB63" w:rsidR="00375DBD" w:rsidRPr="00A80EDE" w:rsidRDefault="006778CB" w:rsidP="00A80EDE">
      <w:pPr>
        <w:pStyle w:val="Style2"/>
        <w:numPr>
          <w:ilvl w:val="0"/>
          <w:numId w:val="16"/>
        </w:numPr>
        <w:suppressAutoHyphens/>
      </w:pPr>
      <w:r w:rsidRPr="00A80EDE">
        <w:rPr>
          <w:color w:val="0070C0"/>
        </w:rPr>
        <w:t>The interviews</w:t>
      </w:r>
      <w:r w:rsidR="00C20E21" w:rsidRPr="00A80EDE">
        <w:t xml:space="preserve"> reveal difficulties related to the lack of a unitary approach to challenging cases, generated by the different interpretations formulated by the </w:t>
      </w:r>
      <w:r w:rsidR="00265A17" w:rsidRPr="00A80EDE">
        <w:t>AM</w:t>
      </w:r>
      <w:r w:rsidR="00C20E21" w:rsidRPr="00A80EDE">
        <w:t>, ANAP, MIPE and the Audit Authority, which creates uncertainty and the potential for financial corrections.</w:t>
      </w:r>
    </w:p>
    <w:p w14:paraId="626FFD53" w14:textId="05FA0DBD" w:rsidR="00A420EC" w:rsidRPr="00A80EDE" w:rsidRDefault="0091600E" w:rsidP="00A80EDE">
      <w:pPr>
        <w:pStyle w:val="Style2"/>
        <w:numPr>
          <w:ilvl w:val="0"/>
          <w:numId w:val="16"/>
        </w:numPr>
        <w:suppressAutoHyphens/>
      </w:pPr>
      <w:r w:rsidRPr="00A80EDE">
        <w:t xml:space="preserve">The final validation </w:t>
      </w:r>
      <w:r w:rsidR="0064166B" w:rsidRPr="00A80EDE">
        <w:t xml:space="preserve">phase </w:t>
      </w:r>
      <w:r w:rsidR="0064166B" w:rsidRPr="00A80EDE">
        <w:rPr>
          <w:b/>
        </w:rPr>
        <w:t>confirms</w:t>
      </w:r>
      <w:r w:rsidRPr="00A80EDE">
        <w:t xml:space="preserve"> that </w:t>
      </w:r>
      <w:r w:rsidRPr="00A80EDE">
        <w:rPr>
          <w:b/>
        </w:rPr>
        <w:t xml:space="preserve">institutional and organizational responsibilities are now well understood and assumed </w:t>
      </w:r>
      <w:r w:rsidRPr="00A80EDE">
        <w:t xml:space="preserve">by the </w:t>
      </w:r>
      <w:r w:rsidR="005F6FE9" w:rsidRPr="00A80EDE">
        <w:t xml:space="preserve">AM </w:t>
      </w:r>
      <w:r w:rsidRPr="00A80EDE">
        <w:t>staff, and the delimitation of duties between directorates is perceived as stable and functional. Overall, the data from surveys and interviews show a clear and operational management structure, but dependent on coordination with central institutions and the continuous strengthening of internal administrative capacity.</w:t>
      </w:r>
    </w:p>
    <w:p w14:paraId="7D563370" w14:textId="6C32B09B" w:rsidR="00A420EC" w:rsidRPr="00A80EDE" w:rsidRDefault="0091600E" w:rsidP="00A80EDE">
      <w:pPr>
        <w:pStyle w:val="Titlu4"/>
        <w:suppressAutoHyphens/>
      </w:pPr>
      <w:r w:rsidRPr="00A80EDE">
        <w:t>Role and responsibilities of partner structures</w:t>
      </w:r>
    </w:p>
    <w:p w14:paraId="6F004B2B" w14:textId="5B2CB559" w:rsidR="00A420EC" w:rsidRPr="00A80EDE" w:rsidRDefault="0091600E" w:rsidP="00A80EDE">
      <w:pPr>
        <w:pStyle w:val="Style2"/>
        <w:numPr>
          <w:ilvl w:val="0"/>
          <w:numId w:val="16"/>
        </w:numPr>
        <w:suppressAutoHyphens/>
      </w:pPr>
      <w:r w:rsidRPr="00A80EDE">
        <w:t>The analysis of the relevant documents (organisational and operational regulations of the CM, CRI, CRP) reveals that their roles and tasks are generally clearly defined and linked to the life cycle of the programme.</w:t>
      </w:r>
    </w:p>
    <w:p w14:paraId="795097A5" w14:textId="097CE0EE" w:rsidR="00A420EC" w:rsidRPr="00A80EDE" w:rsidRDefault="0091600E" w:rsidP="00A80EDE">
      <w:pPr>
        <w:pStyle w:val="Style2"/>
        <w:numPr>
          <w:ilvl w:val="0"/>
          <w:numId w:val="16"/>
        </w:numPr>
        <w:suppressAutoHyphens/>
      </w:pPr>
      <w:r w:rsidRPr="00A80EDE">
        <w:t>The composition of the partnership structures (CM, CRI, CRP) is representative</w:t>
      </w:r>
      <w:r w:rsidR="0064166B" w:rsidRPr="00A80EDE">
        <w:t xml:space="preserve"> at territorial and sectorial level</w:t>
      </w:r>
      <w:r w:rsidRPr="00A80EDE">
        <w:t xml:space="preserve">. The documentary analysis reveals a diverse and representative composition, covering all six counties of the Centre Region and bringing together both large urban centers (Sibiu, Brașov, Alba Iulia, Târgu Mureș, Miercurea Ciuc, Sfântu Gheorghe) and smaller localities, such as Rimetea or Valea Hârtibaciului. In all three structures, public authorities, higher education institutions, NGOs, economic and research organizations are represented, according to the European requirements on the partnership. </w:t>
      </w:r>
    </w:p>
    <w:p w14:paraId="23D68BDB" w14:textId="632416D6" w:rsidR="00A420EC" w:rsidRPr="00A80EDE" w:rsidRDefault="0091600E" w:rsidP="00A80EDE">
      <w:pPr>
        <w:pStyle w:val="Style2"/>
        <w:numPr>
          <w:ilvl w:val="0"/>
          <w:numId w:val="16"/>
        </w:numPr>
        <w:suppressAutoHyphens/>
      </w:pPr>
      <w:r w:rsidRPr="00A80EDE">
        <w:t xml:space="preserve">Roles and duties are </w:t>
      </w:r>
      <w:r w:rsidRPr="00A80EDE">
        <w:rPr>
          <w:b/>
        </w:rPr>
        <w:t>differentiated and clearly defined</w:t>
      </w:r>
      <w:r w:rsidRPr="00A80EDE">
        <w:t xml:space="preserve">. The Monitoring Committee (CM) has a decision-making function, examining and approving strategic documents and making recommendations to the </w:t>
      </w:r>
      <w:r w:rsidR="00265A17" w:rsidRPr="00A80EDE">
        <w:t>AM.</w:t>
      </w:r>
      <w:r w:rsidRPr="00A80EDE">
        <w:t xml:space="preserve"> The Regional Innovation Consortium (CRI) combines the strategic and operational dimensions, being responsible for the entire RIS3 cycle, from the development of strategies to the promotion, monitoring and evaluation of projects, based on transparent procedures and clear legal rules. The Regional Planning Committee (PRC) has a consultative role, with a transversal character, bringing together actors from various fields (education, health, culture, social economy, rural development, energy), which gives it </w:t>
      </w:r>
      <w:r w:rsidR="0064166B" w:rsidRPr="00A80EDE">
        <w:t>important</w:t>
      </w:r>
      <w:r w:rsidRPr="00A80EDE">
        <w:t xml:space="preserve"> potential for intersectoral integration.</w:t>
      </w:r>
    </w:p>
    <w:p w14:paraId="78C00E39" w14:textId="4CA23272" w:rsidR="00A420EC" w:rsidRPr="00A80EDE" w:rsidRDefault="0091600E" w:rsidP="00A80EDE">
      <w:pPr>
        <w:pStyle w:val="Titlu4"/>
        <w:suppressAutoHyphens/>
      </w:pPr>
      <w:r w:rsidRPr="00A80EDE">
        <w:lastRenderedPageBreak/>
        <w:t>Understanding and taking responsibility for partners</w:t>
      </w:r>
    </w:p>
    <w:p w14:paraId="7AEE8D5A" w14:textId="742983C1" w:rsidR="00A420EC" w:rsidRPr="00A80EDE" w:rsidRDefault="0091600E" w:rsidP="00A80EDE">
      <w:pPr>
        <w:pStyle w:val="Style2"/>
        <w:numPr>
          <w:ilvl w:val="0"/>
          <w:numId w:val="16"/>
        </w:numPr>
        <w:suppressAutoHyphens/>
      </w:pPr>
      <w:r w:rsidRPr="00A80EDE">
        <w:t xml:space="preserve">At the level of partnership structures, about </w:t>
      </w:r>
      <w:r w:rsidRPr="00A80EDE">
        <w:rPr>
          <w:b/>
        </w:rPr>
        <w:t>80%</w:t>
      </w:r>
      <w:r w:rsidRPr="00A80EDE">
        <w:t xml:space="preserve"> of respondents say they understand their role well. This clarity is supported by qualitative comments that mention: the existence of </w:t>
      </w:r>
      <w:r w:rsidRPr="00A80EDE">
        <w:rPr>
          <w:b/>
        </w:rPr>
        <w:t>clear regulations</w:t>
      </w:r>
      <w:r w:rsidRPr="00A80EDE">
        <w:t xml:space="preserve">, written procedures, materials submitted in a timely manner, well-structured documents. A minor subset of </w:t>
      </w:r>
      <w:r w:rsidR="0064166B" w:rsidRPr="00A80EDE">
        <w:t>respondents’</w:t>
      </w:r>
      <w:r w:rsidRPr="00A80EDE">
        <w:t xml:space="preserve"> signal: </w:t>
      </w:r>
      <w:r w:rsidRPr="00A80EDE">
        <w:rPr>
          <w:b/>
        </w:rPr>
        <w:t>only partial clarity</w:t>
      </w:r>
      <w:r w:rsidRPr="00A80EDE">
        <w:t xml:space="preserve">, perception of </w:t>
      </w:r>
      <w:r w:rsidRPr="00A80EDE">
        <w:rPr>
          <w:b/>
        </w:rPr>
        <w:t>limited involvement</w:t>
      </w:r>
      <w:r w:rsidRPr="00A80EDE">
        <w:t xml:space="preserve"> in implementation (especially in CRP), lack of </w:t>
      </w:r>
      <w:r w:rsidRPr="00A80EDE">
        <w:rPr>
          <w:b/>
        </w:rPr>
        <w:t>continuous engagement</w:t>
      </w:r>
      <w:r w:rsidRPr="00A80EDE">
        <w:t xml:space="preserve"> processes.</w:t>
      </w:r>
    </w:p>
    <w:p w14:paraId="2CB19E39" w14:textId="6C952206" w:rsidR="00A420EC" w:rsidRPr="00A80EDE" w:rsidRDefault="0091600E" w:rsidP="00A80EDE">
      <w:pPr>
        <w:pStyle w:val="Style2"/>
        <w:numPr>
          <w:ilvl w:val="0"/>
          <w:numId w:val="16"/>
        </w:numPr>
        <w:suppressAutoHyphens/>
      </w:pPr>
      <w:r w:rsidRPr="00A80EDE">
        <w:rPr>
          <w:b/>
        </w:rPr>
        <w:t xml:space="preserve">There are differences in terms of the participation of the members of the three partnership structures, according to </w:t>
      </w:r>
      <w:r w:rsidRPr="00A80EDE">
        <w:rPr>
          <w:color w:val="0070C0"/>
        </w:rPr>
        <w:t>the documentary analysis</w:t>
      </w:r>
      <w:r w:rsidRPr="00A80EDE">
        <w:t xml:space="preserve">. The CM stands out for its intense activity and constant involvement, with a high number of meetings and written procedures in which decisions relevant to the implementation of the programme have been adopted, regularly attended by more than 50–60 members and observers, including representatives of the European Commission. In the CRI, the Organisation and Functioning Regulation provides for clear obligations regarding the presence and contribution to consultations, which </w:t>
      </w:r>
      <w:r w:rsidR="0064166B" w:rsidRPr="00A80EDE">
        <w:t>favors</w:t>
      </w:r>
      <w:r w:rsidRPr="00A80EDE">
        <w:t xml:space="preserve"> accountability and monitoring of members' involvement. In the case of CRP, no explicit rules or formal mechanisms for monitoring participation were identified.</w:t>
      </w:r>
    </w:p>
    <w:p w14:paraId="350FB32B" w14:textId="50D91100" w:rsidR="00A420EC" w:rsidRPr="00A80EDE" w:rsidRDefault="0091600E" w:rsidP="00A80EDE">
      <w:pPr>
        <w:pStyle w:val="Style2"/>
        <w:numPr>
          <w:ilvl w:val="0"/>
          <w:numId w:val="16"/>
        </w:numPr>
        <w:suppressAutoHyphens/>
      </w:pPr>
      <w:r w:rsidRPr="00A80EDE">
        <w:rPr>
          <w:color w:val="0070C0"/>
        </w:rPr>
        <w:t>The interviews</w:t>
      </w:r>
      <w:r w:rsidRPr="00A80EDE">
        <w:t xml:space="preserve"> with the </w:t>
      </w:r>
      <w:r w:rsidRPr="00A80EDE">
        <w:rPr>
          <w:b/>
        </w:rPr>
        <w:t>institutional actors</w:t>
      </w:r>
      <w:r w:rsidRPr="00A80EDE">
        <w:t xml:space="preserve">, members of the partnership structures, reveal that they appreciate the consultation process within the Monitoring Committee as a </w:t>
      </w:r>
      <w:r w:rsidRPr="00A80EDE">
        <w:rPr>
          <w:b/>
        </w:rPr>
        <w:t xml:space="preserve">functional </w:t>
      </w:r>
      <w:r w:rsidR="0064166B" w:rsidRPr="00A80EDE">
        <w:rPr>
          <w:b/>
        </w:rPr>
        <w:t xml:space="preserve">one </w:t>
      </w:r>
      <w:r w:rsidR="0064166B" w:rsidRPr="00A80EDE">
        <w:t>and</w:t>
      </w:r>
      <w:r w:rsidRPr="00A80EDE">
        <w:t xml:space="preserve"> provide a real framework for dialogue with the Managing Authority. The representatives of the county councils emphasize that the proposals formulated by the partners are listened to and taken into account when there is a legal framework for their integration, and the materials are sent on time, which allows for proper analysis. They perceive </w:t>
      </w:r>
      <w:r w:rsidRPr="00A80EDE">
        <w:rPr>
          <w:b/>
        </w:rPr>
        <w:t>the consultations as authentic and not just formal</w:t>
      </w:r>
      <w:r w:rsidRPr="00A80EDE">
        <w:t xml:space="preserve">, which gives them a sense of belonging and responsibility towards the program. </w:t>
      </w:r>
    </w:p>
    <w:p w14:paraId="365956E2" w14:textId="117C7FDD" w:rsidR="00A420EC" w:rsidRPr="00A80EDE" w:rsidRDefault="0091600E" w:rsidP="00A80EDE">
      <w:pPr>
        <w:pStyle w:val="Style2"/>
        <w:numPr>
          <w:ilvl w:val="0"/>
          <w:numId w:val="16"/>
        </w:numPr>
        <w:suppressAutoHyphens/>
      </w:pPr>
      <w:r w:rsidRPr="00A80EDE">
        <w:t xml:space="preserve">The </w:t>
      </w:r>
      <w:r w:rsidRPr="00A80EDE">
        <w:rPr>
          <w:b/>
        </w:rPr>
        <w:t xml:space="preserve">economic </w:t>
      </w:r>
      <w:r w:rsidR="0064166B" w:rsidRPr="00A80EDE">
        <w:rPr>
          <w:b/>
        </w:rPr>
        <w:t xml:space="preserve">environment </w:t>
      </w:r>
      <w:r w:rsidR="0064166B" w:rsidRPr="00A80EDE">
        <w:t>also</w:t>
      </w:r>
      <w:r w:rsidRPr="00A80EDE">
        <w:t xml:space="preserve"> confirms the existence </w:t>
      </w:r>
      <w:r w:rsidRPr="00A80EDE">
        <w:rPr>
          <w:b/>
        </w:rPr>
        <w:t xml:space="preserve">of </w:t>
      </w:r>
      <w:r w:rsidR="005E0119" w:rsidRPr="00A80EDE">
        <w:rPr>
          <w:b/>
        </w:rPr>
        <w:t>openness</w:t>
      </w:r>
      <w:r w:rsidRPr="00A80EDE">
        <w:rPr>
          <w:b/>
        </w:rPr>
        <w:t xml:space="preserve"> on the part of the </w:t>
      </w:r>
      <w:r w:rsidR="005F6FE9" w:rsidRPr="00A80EDE">
        <w:rPr>
          <w:b/>
        </w:rPr>
        <w:t>AM</w:t>
      </w:r>
      <w:r w:rsidR="005F6FE9" w:rsidRPr="00A80EDE">
        <w:t xml:space="preserve"> </w:t>
      </w:r>
      <w:r w:rsidR="0064166B" w:rsidRPr="00A80EDE">
        <w:t>but</w:t>
      </w:r>
      <w:r w:rsidRPr="00A80EDE">
        <w:t xml:space="preserve"> expresses reservations about how their feedback influences final decisions. Although some comments were followed by concrete changes (e.g. adjustment of the thresholds for reimbursement claims), there is uncertainty as to whether these were the direct result of their proposals or just coincidences with decisions already prepared.</w:t>
      </w:r>
    </w:p>
    <w:p w14:paraId="1C66E2E9" w14:textId="75C5DE8D" w:rsidR="00A420EC" w:rsidRPr="00A80EDE" w:rsidRDefault="0091600E" w:rsidP="00A80EDE">
      <w:pPr>
        <w:pStyle w:val="Style2"/>
        <w:numPr>
          <w:ilvl w:val="0"/>
          <w:numId w:val="16"/>
        </w:numPr>
        <w:suppressAutoHyphens/>
      </w:pPr>
      <w:r w:rsidRPr="00A80EDE">
        <w:t xml:space="preserve">Some actors, on the other hand, </w:t>
      </w:r>
      <w:r w:rsidRPr="00A80EDE">
        <w:rPr>
          <w:b/>
        </w:rPr>
        <w:t>representatives of civil society</w:t>
      </w:r>
      <w:r w:rsidRPr="00A80EDE">
        <w:t xml:space="preserve">, express more critical opinions. They consider their role to be rather </w:t>
      </w:r>
      <w:r w:rsidRPr="00A80EDE">
        <w:rPr>
          <w:b/>
        </w:rPr>
        <w:t>consultative and formal</w:t>
      </w:r>
      <w:r w:rsidRPr="00A80EDE">
        <w:t xml:space="preserve">, with little influence on final decisions. While acknowledging that the relationship with ADR is open and proposals are being listened to, they stress that there is no clear mechanism to see whether their suggestions are integrated or debated. The interviews also indicate opinions that the documents put up for consultation are voluminous, technical and difficult to go through in a short time: They want to get involved and not just confirm, approve or comply.  </w:t>
      </w:r>
    </w:p>
    <w:p w14:paraId="321BD113" w14:textId="4C4048A8" w:rsidR="00A420EC" w:rsidRPr="00A80EDE" w:rsidRDefault="0091600E" w:rsidP="00A80EDE">
      <w:pPr>
        <w:pStyle w:val="Style2"/>
        <w:numPr>
          <w:ilvl w:val="0"/>
          <w:numId w:val="16"/>
        </w:numPr>
        <w:suppressAutoHyphens/>
      </w:pPr>
      <w:r w:rsidRPr="00A80EDE">
        <w:rPr>
          <w:lang w:eastAsia="ro-RO"/>
        </w:rPr>
        <w:t>On the other hand, AM has diversified its forms of communication, offering partners additional simplified formats, personalized responses to interventions and proposals, continuing to look for solutions to increase partner involvement.</w:t>
      </w:r>
    </w:p>
    <w:p w14:paraId="703083DE" w14:textId="44AF00CA" w:rsidR="00A420EC" w:rsidRPr="00A80EDE" w:rsidRDefault="0091600E" w:rsidP="00A80EDE">
      <w:pPr>
        <w:pStyle w:val="Style2"/>
        <w:numPr>
          <w:ilvl w:val="0"/>
          <w:numId w:val="16"/>
        </w:numPr>
        <w:suppressAutoHyphens/>
      </w:pPr>
      <w:r w:rsidRPr="00A80EDE">
        <w:t xml:space="preserve">It can be seen that </w:t>
      </w:r>
      <w:r w:rsidR="000941FC" w:rsidRPr="00A80EDE">
        <w:rPr>
          <w:b/>
        </w:rPr>
        <w:t>the level of involvement of the partners varies</w:t>
      </w:r>
      <w:r w:rsidRPr="00A80EDE">
        <w:t xml:space="preserve"> depending on the field of interest, the type of entity represented, the capacity and the available resources. While public actors benefit from stable administrative infrastructure and resources, non-governmental organisations and small entities face structural barriers, such as reduced administrative capacity and limited resources and operational barriers, generated by the volume and complexity of documents, short consultation deadlines and lack of traceability of feedback. These differences affect the equity of participation and justify the need for tailored support and communication mechanisms."</w:t>
      </w:r>
    </w:p>
    <w:p w14:paraId="103FBDCF" w14:textId="5F515D05" w:rsidR="00A420EC" w:rsidRPr="00A80EDE" w:rsidRDefault="0091600E" w:rsidP="00A80EDE">
      <w:pPr>
        <w:pStyle w:val="Style2"/>
        <w:numPr>
          <w:ilvl w:val="0"/>
          <w:numId w:val="16"/>
        </w:numPr>
        <w:suppressAutoHyphens/>
      </w:pPr>
      <w:r w:rsidRPr="00A80EDE">
        <w:rPr>
          <w:b/>
        </w:rPr>
        <w:t>Previous experience as a member in partnership structures is important for active participation</w:t>
      </w:r>
      <w:r w:rsidRPr="00A80EDE">
        <w:t>. The members of the CM, CRP and CRI show through the survey responses a high level of involvement and a good understanding of the formal roles of the partnership structures</w:t>
      </w:r>
      <w:r w:rsidRPr="00A80EDE">
        <w:rPr>
          <w:b/>
        </w:rPr>
        <w:t>.</w:t>
      </w:r>
      <w:r w:rsidRPr="00A80EDE">
        <w:t xml:space="preserve"> Approximately </w:t>
      </w:r>
      <w:r w:rsidRPr="00A80EDE">
        <w:rPr>
          <w:bCs/>
        </w:rPr>
        <w:t>68%</w:t>
      </w:r>
      <w:r w:rsidRPr="00A80EDE">
        <w:t xml:space="preserve"> of respondents say that their institution was involved in the preparation of the PR Center, which confirms the consistent participation in the programming phase and supports the clarity of the roles assigned to these structures.</w:t>
      </w:r>
    </w:p>
    <w:p w14:paraId="78615FE0" w14:textId="05762864" w:rsidR="00A420EC" w:rsidRPr="00A80EDE" w:rsidRDefault="0091600E" w:rsidP="00A80EDE">
      <w:pPr>
        <w:pStyle w:val="Style2"/>
        <w:numPr>
          <w:ilvl w:val="0"/>
          <w:numId w:val="16"/>
        </w:numPr>
        <w:suppressAutoHyphens/>
      </w:pPr>
      <w:r w:rsidRPr="00A80EDE">
        <w:rPr>
          <w:lang w:eastAsia="ro-RO"/>
        </w:rPr>
        <w:lastRenderedPageBreak/>
        <w:t>Overall, although the system works procedurally correctly and is characterized by an open relationship with the Managing Authority, the degree of effective assumption of responsibilities differs between partners. This variation is mainly determined by how each partner perceives their own participation as effective and useful both for the program and for the interests it represents. The differences in involvement can also be attributed to the nature of the link between civil society and the programme, which remains weaker compared to that of administrative-territorial units, which are considered traditional beneficiaries of funding. The feeling of ownership of the program is gradually built, and the designation of MAs at the regional level is not enough to reinforce this feeling. In the first programming exercise, prioritisation was limited by the low flexibility of policy objectives and capped allocations on various specific objectives. This situation has generated, in some cases, a perception of compliance rather than a creative contribution to the definition and implementation of the funding programme.</w:t>
      </w:r>
    </w:p>
    <w:p w14:paraId="20DC1EEC" w14:textId="01DC863B" w:rsidR="000704C4" w:rsidRPr="00A80EDE" w:rsidRDefault="000704C4" w:rsidP="00A80EDE">
      <w:pPr>
        <w:pStyle w:val="Style2"/>
        <w:numPr>
          <w:ilvl w:val="0"/>
          <w:numId w:val="16"/>
        </w:numPr>
        <w:suppressAutoHyphens/>
      </w:pPr>
      <w:r w:rsidRPr="00A80EDE">
        <w:rPr>
          <w:lang w:eastAsia="ro-RO"/>
        </w:rPr>
        <w:t>A more flexible Cohesion Policy funding framework would create the premises for a participatory process that values the partners' original contributions, allowing them to substantially influence the design of the programme and develop a stronger sense of ownership over regional strategic directions.</w:t>
      </w:r>
    </w:p>
    <w:p w14:paraId="4AA7FE9F" w14:textId="22FDD500" w:rsidR="00A420EC" w:rsidRPr="00A80EDE" w:rsidRDefault="00A55767" w:rsidP="00A80EDE">
      <w:pPr>
        <w:pStyle w:val="Style2"/>
        <w:numPr>
          <w:ilvl w:val="0"/>
          <w:numId w:val="16"/>
        </w:numPr>
        <w:suppressAutoHyphens/>
      </w:pPr>
      <w:r w:rsidRPr="00A80EDE">
        <w:rPr>
          <w:lang w:eastAsia="ro-RO"/>
        </w:rPr>
        <w:t xml:space="preserve">Such a context allows for the activation of innovative tools for the involvement of the members of the partnership structures, designed to be relevant and accessible to all categories of actors, including the business environment and civil society. The international experience in the field of "territorial laboratories", together with </w:t>
      </w:r>
      <w:r w:rsidR="002F111C" w:rsidRPr="00A80EDE">
        <w:rPr>
          <w:b/>
          <w:lang w:eastAsia="ro-RO"/>
        </w:rPr>
        <w:t xml:space="preserve">the expertise gained by ADR Centre through the </w:t>
      </w:r>
      <w:r w:rsidR="0064166B" w:rsidRPr="00A80EDE">
        <w:rPr>
          <w:b/>
          <w:lang w:eastAsia="ro-RO"/>
        </w:rPr>
        <w:t xml:space="preserve">implementation </w:t>
      </w:r>
      <w:r w:rsidR="0064166B" w:rsidRPr="00A80EDE">
        <w:rPr>
          <w:b/>
          <w:i/>
          <w:iCs/>
          <w:lang w:eastAsia="ro-RO"/>
        </w:rPr>
        <w:t>of</w:t>
      </w:r>
      <w:r w:rsidR="002F111C" w:rsidRPr="00A80EDE">
        <w:rPr>
          <w:b/>
          <w:i/>
          <w:iCs/>
          <w:lang w:eastAsia="ro-RO"/>
        </w:rPr>
        <w:t xml:space="preserve"> the Entrepreneurial Discovery Process </w:t>
      </w:r>
      <w:r w:rsidR="002F111C" w:rsidRPr="00A80EDE">
        <w:rPr>
          <w:b/>
          <w:lang w:eastAsia="ro-RO"/>
        </w:rPr>
        <w:t xml:space="preserve">and the </w:t>
      </w:r>
      <w:r w:rsidR="002F111C" w:rsidRPr="00A80EDE">
        <w:rPr>
          <w:b/>
          <w:i/>
          <w:iCs/>
          <w:lang w:eastAsia="ro-RO"/>
        </w:rPr>
        <w:t>Beyond EDP initiative</w:t>
      </w:r>
      <w:r w:rsidR="002F111C" w:rsidRPr="00A80EDE">
        <w:rPr>
          <w:i/>
          <w:iCs/>
          <w:lang w:eastAsia="ro-RO"/>
        </w:rPr>
        <w:t>,</w:t>
      </w:r>
      <w:r w:rsidR="002F111C" w:rsidRPr="00A80EDE">
        <w:rPr>
          <w:lang w:eastAsia="ro-RO"/>
        </w:rPr>
        <w:t xml:space="preserve"> provide a solid basis for the development of such participatory and learning-oriented approaches. </w:t>
      </w:r>
    </w:p>
    <w:p w14:paraId="29E0097B" w14:textId="77777777" w:rsidR="00A420EC" w:rsidRPr="00A80EDE" w:rsidRDefault="0091600E" w:rsidP="00A80EDE">
      <w:pPr>
        <w:pStyle w:val="Titlu2"/>
        <w:tabs>
          <w:tab w:val="clear" w:pos="1003"/>
          <w:tab w:val="num" w:pos="553"/>
        </w:tabs>
        <w:suppressAutoHyphens/>
        <w:ind w:left="576"/>
        <w:rPr>
          <w:rFonts w:hint="eastAsia"/>
        </w:rPr>
      </w:pPr>
      <w:bookmarkStart w:id="20" w:name="_Toc216119112"/>
      <w:r w:rsidRPr="00A80EDE">
        <w:t>IE2. What is the impact of decentralization on the regional development process and the administrative capacity (institutional, organizational and human) of the regional and local structures involved in the implementation of the PR Center?</w:t>
      </w:r>
      <w:bookmarkEnd w:id="19"/>
      <w:bookmarkEnd w:id="20"/>
    </w:p>
    <w:p w14:paraId="12D886DB" w14:textId="77777777" w:rsidR="00A420EC" w:rsidRPr="00A80EDE" w:rsidRDefault="0091600E" w:rsidP="00A80EDE">
      <w:pPr>
        <w:pStyle w:val="Titlu4"/>
        <w:suppressAutoHyphens/>
        <w:rPr>
          <w:rFonts w:eastAsia="Arial"/>
        </w:rPr>
      </w:pPr>
      <w:r w:rsidRPr="00A80EDE">
        <w:rPr>
          <w:rFonts w:eastAsia="Arial"/>
        </w:rPr>
        <w:t>Summary of findings</w:t>
      </w:r>
    </w:p>
    <w:p w14:paraId="7A99D4B0" w14:textId="77777777" w:rsidR="00F1428E" w:rsidRPr="00A80EDE" w:rsidRDefault="00F1428E" w:rsidP="00A80EDE">
      <w:pPr>
        <w:pStyle w:val="Style2"/>
        <w:numPr>
          <w:ilvl w:val="0"/>
          <w:numId w:val="16"/>
        </w:numPr>
        <w:suppressAutoHyphens/>
      </w:pPr>
      <w:r w:rsidRPr="00A80EDE">
        <w:t>Decentralisation has allowed the programme to be substantially better adapted to the needs and particularities of the region. Partners and beneficiaries have consistently noted that the interventions were correlated with the areas of smart specialization and the assumed development objectives. At the same time, previously ineligible types of investments have been introduced, and calls for projects have been adjusted to better reflect local realities and the profile of different categories of beneficiaries.</w:t>
      </w:r>
    </w:p>
    <w:p w14:paraId="4DE36DBE" w14:textId="6B09E3E0" w:rsidR="00F1428E" w:rsidRPr="00A80EDE" w:rsidRDefault="00F1428E" w:rsidP="00A80EDE">
      <w:pPr>
        <w:pStyle w:val="Style2"/>
        <w:numPr>
          <w:ilvl w:val="0"/>
          <w:numId w:val="16"/>
        </w:numPr>
        <w:suppressAutoHyphens/>
      </w:pPr>
      <w:r w:rsidRPr="00A80EDE">
        <w:t xml:space="preserve">The proximity of the </w:t>
      </w:r>
      <w:r w:rsidR="005F6FE9" w:rsidRPr="00A80EDE">
        <w:t xml:space="preserve">AM </w:t>
      </w:r>
      <w:r w:rsidRPr="00A80EDE">
        <w:t>to partners and beneficiaries has strengthened the adaptation process. The direct relationship with beneficiaries is perceived as more effective, as decisions are taken at regional level, without the intervention of national structures. Constant contact has facilitated the identification of real needs and possibilities for integrating them into the funding framework, within the limits set by the cohesion policy regulations and the Partnership Agreement. This dynamic has contributed to better calibration of calls and procedures.</w:t>
      </w:r>
    </w:p>
    <w:p w14:paraId="7E690350" w14:textId="5917303E" w:rsidR="00F1428E" w:rsidRPr="00A80EDE" w:rsidRDefault="00C9759D" w:rsidP="00A80EDE">
      <w:pPr>
        <w:pStyle w:val="Style2"/>
        <w:numPr>
          <w:ilvl w:val="0"/>
          <w:numId w:val="16"/>
        </w:numPr>
        <w:suppressAutoHyphens/>
      </w:pPr>
      <w:r w:rsidRPr="00A80EDE">
        <w:t xml:space="preserve">Operational adjustments to calls have had significant effects. The separation of calls for municipalities and small towns has reduced unequal competition, although it has increased the workload of the AM. The guides are generally perceived as improved, but for some small </w:t>
      </w:r>
      <w:r w:rsidR="00F94785" w:rsidRPr="00A80EDE">
        <w:t>UAT</w:t>
      </w:r>
      <w:r w:rsidRPr="00A80EDE">
        <w:t>s they remain complex. There are differences in perceptions of simplification due to different positions on compliance requirements, with current defensive practice sometimes being preferred to avoid errors and corrections, which may limit the adoption of simplified approaches.</w:t>
      </w:r>
    </w:p>
    <w:p w14:paraId="704C5849" w14:textId="0ABE0926" w:rsidR="00F1428E" w:rsidRPr="00A80EDE" w:rsidRDefault="00F1428E" w:rsidP="00A80EDE">
      <w:pPr>
        <w:pStyle w:val="Style2"/>
        <w:numPr>
          <w:ilvl w:val="0"/>
          <w:numId w:val="16"/>
        </w:numPr>
        <w:suppressAutoHyphens/>
      </w:pPr>
      <w:r w:rsidRPr="00A80EDE">
        <w:rPr>
          <w:b/>
          <w:bCs/>
        </w:rPr>
        <w:t xml:space="preserve">Decentralization has generated a positive impact on operational flexibility and efficiency, mainly by reducing the duration of contracting and payment processes and by the decision-making proximity of the </w:t>
      </w:r>
      <w:r w:rsidR="005F6FE9" w:rsidRPr="00A80EDE">
        <w:rPr>
          <w:b/>
          <w:bCs/>
        </w:rPr>
        <w:t>AM</w:t>
      </w:r>
      <w:r w:rsidR="005F6FE9" w:rsidRPr="00A80EDE">
        <w:t xml:space="preserve"> </w:t>
      </w:r>
      <w:r w:rsidRPr="00A80EDE">
        <w:t>(</w:t>
      </w:r>
      <w:r w:rsidR="005F6FE9" w:rsidRPr="00A80EDE">
        <w:t xml:space="preserve">ADR </w:t>
      </w:r>
      <w:r w:rsidRPr="00A80EDE">
        <w:t xml:space="preserve">Centre) </w:t>
      </w:r>
      <w:r w:rsidRPr="00A80EDE">
        <w:rPr>
          <w:b/>
          <w:bCs/>
        </w:rPr>
        <w:t>to the beneficiaries</w:t>
      </w:r>
      <w:r w:rsidRPr="00A80EDE">
        <w:t xml:space="preserve">. The </w:t>
      </w:r>
      <w:r w:rsidR="005F6FE9" w:rsidRPr="00A80EDE">
        <w:t xml:space="preserve">AM </w:t>
      </w:r>
      <w:r w:rsidRPr="00A80EDE">
        <w:t>has also introduced ad hoc adjustments and simplification tools (simplified costs, flat rates), demonstrating adaptability and readiness.</w:t>
      </w:r>
    </w:p>
    <w:p w14:paraId="64B6948D" w14:textId="17F07AD0" w:rsidR="008C3A4C" w:rsidRPr="00A80EDE" w:rsidRDefault="00EE5D06" w:rsidP="00A80EDE">
      <w:pPr>
        <w:pStyle w:val="Style2"/>
        <w:numPr>
          <w:ilvl w:val="0"/>
          <w:numId w:val="16"/>
        </w:numPr>
        <w:suppressAutoHyphens/>
      </w:pPr>
      <w:r w:rsidRPr="00A80EDE">
        <w:lastRenderedPageBreak/>
        <w:t xml:space="preserve">The PR Centre implementation system has greater potential for adaptation, opening up opportunities for the future programming period to develop integrated interventions that better cover diverse needs and create more effective mechanisms for collaboration between regional actors. </w:t>
      </w:r>
    </w:p>
    <w:p w14:paraId="7A5CEC95" w14:textId="3771AA22" w:rsidR="00A420EC" w:rsidRPr="00A80EDE" w:rsidRDefault="006B7111" w:rsidP="00A80EDE">
      <w:pPr>
        <w:pStyle w:val="Style2"/>
        <w:numPr>
          <w:ilvl w:val="0"/>
          <w:numId w:val="16"/>
        </w:numPr>
        <w:suppressAutoHyphens/>
      </w:pPr>
      <w:r w:rsidRPr="00A80EDE">
        <w:t xml:space="preserve">Decentralization at regional level has forced the </w:t>
      </w:r>
      <w:r w:rsidR="00F94785" w:rsidRPr="00A80EDE">
        <w:t xml:space="preserve">ADR Centre </w:t>
      </w:r>
      <w:r w:rsidRPr="00A80EDE">
        <w:t>(</w:t>
      </w:r>
      <w:r w:rsidR="00F94785" w:rsidRPr="00A80EDE">
        <w:t>AM</w:t>
      </w:r>
      <w:r w:rsidRPr="00A80EDE">
        <w:t xml:space="preserve">) to assume strategic responsibility for developing the capacity of the entire regional ecosystem. This is achieved through the Roadmap, a systemic approach on 5 OECD Pillars, which aims to transform the </w:t>
      </w:r>
      <w:r w:rsidR="005F6FE9" w:rsidRPr="00A80EDE">
        <w:t xml:space="preserve">AM </w:t>
      </w:r>
      <w:r w:rsidRPr="00A80EDE">
        <w:t>and the entire ecosystem of the programme into a system based on collaboration, efficiency and impact.</w:t>
      </w:r>
    </w:p>
    <w:p w14:paraId="59ED053E" w14:textId="1312AF02" w:rsidR="00A420EC" w:rsidRPr="00A80EDE" w:rsidRDefault="0091600E" w:rsidP="00A80EDE">
      <w:pPr>
        <w:pStyle w:val="Style2"/>
        <w:numPr>
          <w:ilvl w:val="0"/>
          <w:numId w:val="16"/>
        </w:numPr>
        <w:suppressAutoHyphens/>
      </w:pPr>
      <w:r w:rsidRPr="00A80EDE">
        <w:t xml:space="preserve">Capacity building requires strengthening integrated project management skills, creating non-formal support mechanisms (mentoring, communities of practice) and practical support from </w:t>
      </w:r>
      <w:r w:rsidR="00265A17" w:rsidRPr="00A80EDE">
        <w:t>AM</w:t>
      </w:r>
      <w:r w:rsidRPr="00A80EDE">
        <w:t>, essential to build a post-2027 adaptive and predictable regional system.</w:t>
      </w:r>
    </w:p>
    <w:p w14:paraId="29D97E51" w14:textId="1E989E17" w:rsidR="00BA6722" w:rsidRPr="00A80EDE" w:rsidRDefault="00943580" w:rsidP="00A80EDE">
      <w:pPr>
        <w:pStyle w:val="Style2"/>
        <w:numPr>
          <w:ilvl w:val="0"/>
          <w:numId w:val="16"/>
        </w:numPr>
        <w:suppressAutoHyphens/>
      </w:pPr>
      <w:r w:rsidRPr="00A80EDE">
        <w:t xml:space="preserve">Relations with national and European structures are generally perceived </w:t>
      </w:r>
      <w:r w:rsidR="0064166B" w:rsidRPr="00A80EDE">
        <w:t>favorably</w:t>
      </w:r>
      <w:r w:rsidRPr="00A80EDE">
        <w:t xml:space="preserve">. However, there are dissonances and some different interpretations of the rules between </w:t>
      </w:r>
      <w:r w:rsidR="005F6FE9" w:rsidRPr="00A80EDE">
        <w:t>AM</w:t>
      </w:r>
      <w:r w:rsidRPr="00A80EDE">
        <w:t xml:space="preserve">, ANAP, MIPE and the Audit Authority, creating uncertainty and the risk of financial corrections. </w:t>
      </w:r>
    </w:p>
    <w:p w14:paraId="74EEF1C3" w14:textId="7FA43920" w:rsidR="00A420EC" w:rsidRPr="00A80EDE" w:rsidRDefault="0091600E" w:rsidP="00A80EDE">
      <w:pPr>
        <w:pStyle w:val="Style2"/>
        <w:suppressAutoHyphens/>
      </w:pPr>
      <w:r w:rsidRPr="00A80EDE">
        <w:t xml:space="preserve">93. The absence </w:t>
      </w:r>
      <w:r w:rsidRPr="00A80EDE">
        <w:rPr>
          <w:b/>
          <w:bCs/>
        </w:rPr>
        <w:t>of uniform methodological clarifications</w:t>
      </w:r>
      <w:r w:rsidRPr="00A80EDE">
        <w:t xml:space="preserve"> fuels excessive </w:t>
      </w:r>
      <w:r w:rsidRPr="00A80EDE">
        <w:rPr>
          <w:b/>
        </w:rPr>
        <w:t xml:space="preserve">institutional prudence that blocks simplification processes. </w:t>
      </w:r>
      <w:r w:rsidRPr="00A80EDE">
        <w:t>At the same time</w:t>
      </w:r>
      <w:r w:rsidRPr="00A80EDE">
        <w:rPr>
          <w:bCs/>
        </w:rPr>
        <w:t xml:space="preserve">, the verification and control systems </w:t>
      </w:r>
      <w:r w:rsidR="000A45CF" w:rsidRPr="00A80EDE">
        <w:t>specific to the Romanian public administration system, focused on expenses and processes, slow down the adoption of results-oriented financing mechanisms. The success of further simplification or the introduction of results-based financing instruments is conditional on measures to reform the verification and control system at national level.</w:t>
      </w:r>
    </w:p>
    <w:p w14:paraId="0DBDC8AB" w14:textId="77777777" w:rsidR="00A420EC" w:rsidRPr="00A80EDE" w:rsidRDefault="0091600E" w:rsidP="00A80EDE">
      <w:pPr>
        <w:pStyle w:val="Titlu4"/>
        <w:suppressAutoHyphens/>
      </w:pPr>
      <w:r w:rsidRPr="00A80EDE">
        <w:rPr>
          <w:rFonts w:eastAsia="MS Gothic"/>
        </w:rPr>
        <w:t xml:space="preserve">2.1. Impact of decentralisation on adapting the programme to the needs of the region </w:t>
      </w:r>
    </w:p>
    <w:p w14:paraId="44C8014B" w14:textId="77777777" w:rsidR="00A420EC" w:rsidRPr="00A80EDE" w:rsidRDefault="0091600E" w:rsidP="00A80EDE">
      <w:pPr>
        <w:pStyle w:val="Style2"/>
        <w:numPr>
          <w:ilvl w:val="0"/>
          <w:numId w:val="16"/>
        </w:numPr>
        <w:suppressAutoHyphens/>
      </w:pPr>
      <w:r w:rsidRPr="00A80EDE">
        <w:rPr>
          <w:lang w:eastAsia="ro-RO"/>
        </w:rPr>
        <w:t>The analysis of the strategic documents (Regional Development Plan of the Centre Region 2021-2027 (RDP) and the Smart Specialisation Strategy 2021-2027 (RIS3)) confirms that the priorities of the Centre PR are based on socio-economic analyses, SWOT and consultation of partners. This allowed the interventions to be correlated with the areas of smart specialization (automotive and mechatronics industry, agri-food sector, IT and creative industries, health, sustainable built environment and tourism) and with the assumed development objectives, reflecting regional competitive advantages and modernization directions (digitalization, innovation, industrial transition).</w:t>
      </w:r>
    </w:p>
    <w:p w14:paraId="24C3EE5F" w14:textId="401BCA8D" w:rsidR="001C46E6" w:rsidRPr="00A80EDE" w:rsidRDefault="001C46E6" w:rsidP="00A80EDE">
      <w:pPr>
        <w:pStyle w:val="Style2"/>
        <w:numPr>
          <w:ilvl w:val="0"/>
          <w:numId w:val="16"/>
        </w:numPr>
        <w:suppressAutoHyphens/>
      </w:pPr>
      <w:r w:rsidRPr="00A80EDE">
        <w:t xml:space="preserve">The fact that the Managing Authority is part of the Centre Regional Development Agency has made it possible to capitalize on multiple synergies, including: the credibility of the </w:t>
      </w:r>
      <w:r w:rsidR="00265A17" w:rsidRPr="00A80EDE">
        <w:t xml:space="preserve">ADR </w:t>
      </w:r>
      <w:r w:rsidRPr="00A80EDE">
        <w:t xml:space="preserve">arising from the good reputation as the main financier of regional development in the region taken over by the </w:t>
      </w:r>
      <w:r w:rsidR="00265A17" w:rsidRPr="00A80EDE">
        <w:t>AM</w:t>
      </w:r>
      <w:r w:rsidRPr="00A80EDE">
        <w:t xml:space="preserve">, institutional efficiency through the transfer of competences or their shared use in common processes (regional need analysis, feedback to regional actors,  joint teams in planning and scheduling processes). The effects of these synergies are found in the adaptation of the program to the specifics of regional needs, rapid access to feedback from regional actors, greater coherence with other funding programs in the region for which the </w:t>
      </w:r>
      <w:r w:rsidR="00265A17" w:rsidRPr="00A80EDE">
        <w:t xml:space="preserve">ADR </w:t>
      </w:r>
      <w:r w:rsidRPr="00A80EDE">
        <w:t>fulfills the role of Intermediate Body (</w:t>
      </w:r>
      <w:r w:rsidR="00265A17" w:rsidRPr="00A80EDE">
        <w:t>OI</w:t>
      </w:r>
      <w:r w:rsidRPr="00A80EDE">
        <w:t xml:space="preserve">). </w:t>
      </w:r>
    </w:p>
    <w:p w14:paraId="47E6646D" w14:textId="23C30D7F" w:rsidR="00A420EC" w:rsidRPr="00A80EDE" w:rsidRDefault="0091600E" w:rsidP="00A80EDE">
      <w:pPr>
        <w:pStyle w:val="Style2"/>
        <w:numPr>
          <w:ilvl w:val="0"/>
          <w:numId w:val="16"/>
        </w:numPr>
        <w:suppressAutoHyphens/>
      </w:pPr>
      <w:r w:rsidRPr="00A80EDE">
        <w:t>According to the opinions collected after the interviews, the adaptation of the Centre Region Programme to the specific needs of the region is positively perceived by some of the beneficiaries, decentralization being associated with a better correlation of calls with local realities and with the profile and capacity of the beneficiaries.</w:t>
      </w:r>
    </w:p>
    <w:p w14:paraId="6CA77CB1" w14:textId="5FF5939F" w:rsidR="00A420EC" w:rsidRPr="00A80EDE" w:rsidRDefault="0091600E" w:rsidP="00A80EDE">
      <w:pPr>
        <w:pStyle w:val="Style2"/>
        <w:numPr>
          <w:ilvl w:val="0"/>
          <w:numId w:val="16"/>
        </w:numPr>
        <w:suppressAutoHyphens/>
      </w:pPr>
      <w:r w:rsidRPr="00A80EDE">
        <w:t xml:space="preserve">From the interviews with the </w:t>
      </w:r>
      <w:r w:rsidR="005F6FE9" w:rsidRPr="00A80EDE">
        <w:t xml:space="preserve">AM </w:t>
      </w:r>
      <w:r w:rsidRPr="00A80EDE">
        <w:t>staff, it emerges that the beneficiaries and partners were involved in the process: "</w:t>
      </w:r>
      <w:r w:rsidRPr="00A80EDE">
        <w:rPr>
          <w:i/>
          <w:iCs/>
        </w:rPr>
        <w:t>We adapted the procedures and guides to the regional realities, including using feedback from the working groups and from the beneficiaries</w:t>
      </w:r>
      <w:r w:rsidRPr="00A80EDE">
        <w:t>". The AM staff also mentioned a closer relationship with the beneficiaries: "</w:t>
      </w:r>
      <w:r w:rsidRPr="00A80EDE">
        <w:rPr>
          <w:i/>
          <w:iCs/>
        </w:rPr>
        <w:t>The direct contact with the beneficiaries is more consistent than in the previous period, which allows a better adaptation of the calls to their needs.</w:t>
      </w:r>
      <w:r w:rsidRPr="00A80EDE">
        <w:t>".</w:t>
      </w:r>
    </w:p>
    <w:p w14:paraId="70677CFF" w14:textId="6B2D2E99" w:rsidR="00A420EC" w:rsidRPr="00A80EDE" w:rsidRDefault="0091600E" w:rsidP="00A80EDE">
      <w:pPr>
        <w:pStyle w:val="Style2"/>
        <w:numPr>
          <w:ilvl w:val="0"/>
          <w:numId w:val="16"/>
        </w:numPr>
        <w:suppressAutoHyphens/>
      </w:pPr>
      <w:r w:rsidRPr="00A80EDE">
        <w:t xml:space="preserve">At the same time, during the interviews with the beneficiaries, other positive aspects were also pointed out: the clarity and relevance of the guidelines improved compared to previous years, mentioning the inclusion of previously ineligible types of investments (such as partnerships for educational infrastructure owned by entities other than </w:t>
      </w:r>
      <w:r w:rsidR="00F94785" w:rsidRPr="00A80EDE">
        <w:t>UAT</w:t>
      </w:r>
      <w:r w:rsidRPr="00A80EDE">
        <w:t xml:space="preserve">s or interventions for buildings with seismic risk). The </w:t>
      </w:r>
      <w:r w:rsidR="005F6FE9" w:rsidRPr="00A80EDE">
        <w:t xml:space="preserve">AM </w:t>
      </w:r>
      <w:r w:rsidRPr="00A80EDE">
        <w:t xml:space="preserve">has implemented recommendations of previous evaluations on the integration into projects of "soft" </w:t>
      </w:r>
      <w:r w:rsidRPr="00A80EDE">
        <w:lastRenderedPageBreak/>
        <w:t>activities that facilitate the operationalization of the infrastructures created or rehabilitated, has encouraged associations, including with civil society.</w:t>
      </w:r>
    </w:p>
    <w:p w14:paraId="409E1A9D" w14:textId="3F619CBE" w:rsidR="00A420EC" w:rsidRPr="00A80EDE" w:rsidRDefault="00041F40" w:rsidP="00A80EDE">
      <w:pPr>
        <w:pStyle w:val="Style2"/>
        <w:numPr>
          <w:ilvl w:val="0"/>
          <w:numId w:val="16"/>
        </w:numPr>
        <w:suppressAutoHyphens/>
      </w:pPr>
      <w:r w:rsidRPr="00A80EDE">
        <w:t xml:space="preserve">In order to avoid competition between municipalities and small towns, on the one hand, and municipalities, on the other hand, given the differences in capacity in the preparation of funding documentation, the </w:t>
      </w:r>
      <w:r w:rsidR="005F6FE9" w:rsidRPr="00A80EDE">
        <w:t xml:space="preserve">AM </w:t>
      </w:r>
      <w:r w:rsidRPr="00A80EDE">
        <w:t xml:space="preserve">created separate calls for projects. This approach is appreciated as beneficial for the beneficiaries, although it implies an overload at the AM level, generated by the management of a higher number of calls.    </w:t>
      </w:r>
    </w:p>
    <w:p w14:paraId="0C6FD5CD" w14:textId="20D43AE9" w:rsidR="00A420EC" w:rsidRPr="00A80EDE" w:rsidRDefault="0091600E" w:rsidP="00A80EDE">
      <w:pPr>
        <w:pStyle w:val="Style2"/>
        <w:numPr>
          <w:ilvl w:val="0"/>
          <w:numId w:val="16"/>
        </w:numPr>
        <w:suppressAutoHyphens/>
      </w:pPr>
      <w:r w:rsidRPr="00A80EDE">
        <w:t xml:space="preserve">At the operational level, as regards the guidelines and scoring criteria, opinions are varied: on the one hand, experienced beneficiaries confirm their improvements compared to the previous period, on the other hand, some beneficiaries, such as common </w:t>
      </w:r>
      <w:r w:rsidR="00F94785" w:rsidRPr="00A80EDE">
        <w:t>UAT</w:t>
      </w:r>
      <w:r w:rsidRPr="00A80EDE">
        <w:t xml:space="preserve">s or small towns, describe them as excessively dense, complicated and difficult to apply in relation to their administrative capacity. These differences in perception are explained by distinct experiences and different positions in the compliance system: long-standing experience (AM/CJ) often </w:t>
      </w:r>
      <w:r w:rsidR="0064166B" w:rsidRPr="00A80EDE">
        <w:t>favors</w:t>
      </w:r>
      <w:r w:rsidRPr="00A80EDE">
        <w:t xml:space="preserve"> compliance and acceptance of the current situation (zero-risk culture), where calls and guides are designed defensively, with increasingly detailed requirements and documentation to avoid errors, divergent interpretations or subsequent corrections. On the other hand, accepting the current situation, fears that simplifications might have different interpretations can create resistance to change.</w:t>
      </w:r>
    </w:p>
    <w:p w14:paraId="593F475D" w14:textId="5F570000" w:rsidR="00283A4E" w:rsidRPr="00A80EDE" w:rsidRDefault="00283A4E" w:rsidP="00A80EDE">
      <w:pPr>
        <w:pStyle w:val="Style2"/>
        <w:numPr>
          <w:ilvl w:val="0"/>
          <w:numId w:val="16"/>
        </w:numPr>
        <w:suppressAutoHyphens/>
      </w:pPr>
      <w:r w:rsidRPr="00A80EDE">
        <w:t xml:space="preserve">The relationship with the beneficiaries is more solid than in the previous period, since, once the </w:t>
      </w:r>
      <w:r w:rsidR="005F6FE9" w:rsidRPr="00A80EDE">
        <w:t xml:space="preserve">AM </w:t>
      </w:r>
      <w:r w:rsidRPr="00A80EDE">
        <w:t xml:space="preserve">takes over the role of </w:t>
      </w:r>
      <w:r w:rsidR="005F6FE9" w:rsidRPr="00A80EDE">
        <w:t>AM</w:t>
      </w:r>
      <w:r w:rsidRPr="00A80EDE">
        <w:t xml:space="preserve">, the decisions to solve the problems are taken directly at the level of the </w:t>
      </w:r>
      <w:r w:rsidR="005F6FE9" w:rsidRPr="00A80EDE">
        <w:t xml:space="preserve">ADR </w:t>
      </w:r>
      <w:r w:rsidRPr="00A80EDE">
        <w:t xml:space="preserve">Center. Thus, the ADR no longer acts as a mere intermediary between the beneficiaries and a national </w:t>
      </w:r>
      <w:r w:rsidR="005F6FE9" w:rsidRPr="00A80EDE">
        <w:t xml:space="preserve">AM </w:t>
      </w:r>
      <w:r w:rsidR="0064166B" w:rsidRPr="00A80EDE">
        <w:t>but</w:t>
      </w:r>
      <w:r w:rsidRPr="00A80EDE">
        <w:t xml:space="preserve"> has the decision-making capacity.</w:t>
      </w:r>
    </w:p>
    <w:p w14:paraId="2A2AA07D" w14:textId="71CE204F" w:rsidR="00A420EC" w:rsidRPr="00A80EDE" w:rsidRDefault="0091600E" w:rsidP="00A80EDE">
      <w:pPr>
        <w:pStyle w:val="Style2"/>
        <w:numPr>
          <w:ilvl w:val="0"/>
          <w:numId w:val="16"/>
        </w:numPr>
        <w:suppressAutoHyphens/>
      </w:pPr>
      <w:r w:rsidRPr="00A80EDE">
        <w:t xml:space="preserve">Survey responses indicate that decentralisation is perceived as having a major impact on the design and adaptation of the programme to the needs of the region, both by </w:t>
      </w:r>
      <w:r w:rsidR="005F6FE9" w:rsidRPr="00A80EDE">
        <w:t>AM</w:t>
      </w:r>
      <w:r w:rsidRPr="00A80EDE">
        <w:t xml:space="preserve">, beneficiaries and institutional partners. </w:t>
      </w:r>
    </w:p>
    <w:p w14:paraId="454C7C62" w14:textId="18FD3D62" w:rsidR="00D47832" w:rsidRPr="00A80EDE" w:rsidRDefault="00D47832" w:rsidP="00A80EDE">
      <w:pPr>
        <w:pStyle w:val="Style2"/>
        <w:numPr>
          <w:ilvl w:val="0"/>
          <w:numId w:val="16"/>
        </w:numPr>
        <w:suppressAutoHyphens/>
        <w:rPr>
          <w:lang w:eastAsia="ro-RO"/>
        </w:rPr>
      </w:pPr>
      <w:r w:rsidRPr="00A80EDE">
        <w:rPr>
          <w:lang w:eastAsia="ro-RO"/>
        </w:rPr>
        <w:t xml:space="preserve">The validation phase confirmed the initial </w:t>
      </w:r>
      <w:r w:rsidR="0064166B" w:rsidRPr="00A80EDE">
        <w:rPr>
          <w:lang w:eastAsia="ro-RO"/>
        </w:rPr>
        <w:t>findings but</w:t>
      </w:r>
      <w:r w:rsidRPr="00A80EDE">
        <w:rPr>
          <w:lang w:eastAsia="ro-RO"/>
        </w:rPr>
        <w:t xml:space="preserve"> brought some important nuances. The actors consulted (private sector, academia and civil society) acknowledged that the programme has been adapted in many respects, in particular at the operational level on the implementation of interventions. However, they stressed that the potential of a regional programme </w:t>
      </w:r>
      <w:r w:rsidR="0064166B" w:rsidRPr="00A80EDE">
        <w:rPr>
          <w:lang w:eastAsia="ro-RO"/>
        </w:rPr>
        <w:t>focusing</w:t>
      </w:r>
      <w:r w:rsidRPr="00A80EDE">
        <w:rPr>
          <w:lang w:eastAsia="ro-RO"/>
        </w:rPr>
        <w:t xml:space="preserve"> funding on region-specific priorities is not yet fully exploited. This is primarily due to the funding framework established by the regulations applicable to the PR Centre, which </w:t>
      </w:r>
      <w:r w:rsidR="0064166B" w:rsidRPr="00A80EDE">
        <w:rPr>
          <w:lang w:eastAsia="ro-RO"/>
        </w:rPr>
        <w:t>limit</w:t>
      </w:r>
      <w:r w:rsidRPr="00A80EDE">
        <w:rPr>
          <w:lang w:eastAsia="ro-RO"/>
        </w:rPr>
        <w:t xml:space="preserve"> the integration of proposals considered relevant by the partners. Consequently, some of these proposals can only be envisaged for the future programme, in the context of a broader and more flexible financial framework.</w:t>
      </w:r>
    </w:p>
    <w:p w14:paraId="224C9F68" w14:textId="0BA9CB15" w:rsidR="00D47832" w:rsidRPr="00A80EDE" w:rsidRDefault="00D47832" w:rsidP="00A80EDE">
      <w:pPr>
        <w:pStyle w:val="Style2"/>
        <w:numPr>
          <w:ilvl w:val="0"/>
          <w:numId w:val="16"/>
        </w:numPr>
        <w:suppressAutoHyphens/>
        <w:rPr>
          <w:lang w:eastAsia="ro-RO"/>
        </w:rPr>
      </w:pPr>
      <w:r w:rsidRPr="00A80EDE">
        <w:rPr>
          <w:lang w:eastAsia="ro-RO"/>
        </w:rPr>
        <w:t xml:space="preserve">Views on options that could amplify the impact of the programme's decentralisation are presented below, from the perspective of four categories of regional development actors in the Centre Region. Some of these options represent adaptations or extensions of the practices already existing at the level of the </w:t>
      </w:r>
      <w:r w:rsidR="005F6FE9" w:rsidRPr="00A80EDE">
        <w:rPr>
          <w:lang w:eastAsia="ro-RO"/>
        </w:rPr>
        <w:t xml:space="preserve">AM </w:t>
      </w:r>
      <w:r w:rsidRPr="00A80EDE">
        <w:rPr>
          <w:lang w:eastAsia="ro-RO"/>
        </w:rPr>
        <w:t xml:space="preserve">and the </w:t>
      </w:r>
      <w:r w:rsidR="005F6FE9" w:rsidRPr="00A80EDE">
        <w:rPr>
          <w:lang w:eastAsia="ro-RO"/>
        </w:rPr>
        <w:t xml:space="preserve">ADR </w:t>
      </w:r>
      <w:r w:rsidRPr="00A80EDE">
        <w:rPr>
          <w:lang w:eastAsia="ro-RO"/>
        </w:rPr>
        <w:t>Centre:</w:t>
      </w:r>
    </w:p>
    <w:p w14:paraId="13F866F7" w14:textId="109D457B" w:rsidR="00A420EC" w:rsidRPr="00A80EDE" w:rsidRDefault="00742C6F" w:rsidP="00A80EDE">
      <w:pPr>
        <w:pStyle w:val="Numparagraphnormal"/>
        <w:numPr>
          <w:ilvl w:val="0"/>
          <w:numId w:val="30"/>
        </w:numPr>
        <w:suppressAutoHyphens/>
      </w:pPr>
      <w:r w:rsidRPr="00A80EDE">
        <w:t>Representatives of the private sector, especially clusters, highlighted the existence of areas with competitive advantages, such as the bioeconomy, balneology or the food industry, which would require dedicated tools and a more clearly defined regional approach. They advocated calls for projects with a distinct regional identity and for strengthening partnerships between the business environment, universities and local administrations, aimed at generating integrated economic effects at regional level.</w:t>
      </w:r>
    </w:p>
    <w:p w14:paraId="3B92DFBB" w14:textId="5B045EBE" w:rsidR="00A420EC" w:rsidRPr="00A80EDE" w:rsidRDefault="003043FF" w:rsidP="00A80EDE">
      <w:pPr>
        <w:pStyle w:val="Numparagraphnormal"/>
        <w:numPr>
          <w:ilvl w:val="0"/>
          <w:numId w:val="30"/>
        </w:numPr>
        <w:suppressAutoHyphens/>
      </w:pPr>
      <w:r w:rsidRPr="00A80EDE">
        <w:t xml:space="preserve">The representatives of the academic environment proposed the more intense involvement of the regional partners through thematic working groups on the fields of smart specialization (RIS3), coordinated by the </w:t>
      </w:r>
      <w:r w:rsidR="005F6FE9" w:rsidRPr="00A80EDE">
        <w:t xml:space="preserve">ADR </w:t>
      </w:r>
      <w:r w:rsidR="005F6FE9" w:rsidRPr="00A80EDE">
        <w:rPr>
          <w:lang w:eastAsia="ro-RO"/>
        </w:rPr>
        <w:t>Centre</w:t>
      </w:r>
      <w:r w:rsidR="005F6FE9" w:rsidRPr="00A80EDE">
        <w:t xml:space="preserve"> </w:t>
      </w:r>
      <w:r w:rsidRPr="00A80EDE">
        <w:t xml:space="preserve">and bringing together universities, research institutes and clusters. In their view, closer coordination on each RIS3 area could contribute to a faster and more coherent launch of calls for research and innovation. </w:t>
      </w:r>
    </w:p>
    <w:p w14:paraId="7B949C20" w14:textId="4FF0E017" w:rsidR="00A862A6" w:rsidRPr="00A80EDE" w:rsidRDefault="00F90F96" w:rsidP="00A80EDE">
      <w:pPr>
        <w:pStyle w:val="Numparagraphnormal"/>
        <w:numPr>
          <w:ilvl w:val="0"/>
          <w:numId w:val="30"/>
        </w:numPr>
        <w:suppressAutoHyphens/>
      </w:pPr>
      <w:r w:rsidRPr="00A80EDE">
        <w:lastRenderedPageBreak/>
        <w:t xml:space="preserve">Civil society highlighted the extension of the integration of software components in all infrastructure projects, arguing that the social and community dimension of interventions needs to be strengthened to ensure the sustainability of results. </w:t>
      </w:r>
    </w:p>
    <w:p w14:paraId="4EEC33A5" w14:textId="43B259BA" w:rsidR="00CE7240" w:rsidRPr="00A80EDE" w:rsidRDefault="00CE7240" w:rsidP="00A80EDE">
      <w:pPr>
        <w:pStyle w:val="Numparagraphnormal"/>
        <w:numPr>
          <w:ilvl w:val="0"/>
          <w:numId w:val="30"/>
        </w:numPr>
        <w:suppressAutoHyphens/>
      </w:pPr>
      <w:r w:rsidRPr="00A80EDE">
        <w:t xml:space="preserve">Consultants and experts indicated as an alternative to the current system, the financing of integrated projects or project portfolios, an alternative that reduces the number of calls and offers more flexibility to allocations during implementation. </w:t>
      </w:r>
    </w:p>
    <w:p w14:paraId="2092F1C9" w14:textId="77C94293" w:rsidR="00A420EC" w:rsidRPr="00A80EDE" w:rsidRDefault="00E06B1F" w:rsidP="00A80EDE">
      <w:pPr>
        <w:pStyle w:val="Style2"/>
        <w:numPr>
          <w:ilvl w:val="0"/>
          <w:numId w:val="16"/>
        </w:numPr>
        <w:suppressAutoHyphens/>
      </w:pPr>
      <w:r w:rsidRPr="00A80EDE">
        <w:t xml:space="preserve">Overall, these contributions confirm that decentralisation has created a more </w:t>
      </w:r>
      <w:r w:rsidR="0064166B" w:rsidRPr="00A80EDE">
        <w:t>favorable</w:t>
      </w:r>
      <w:r w:rsidRPr="00A80EDE">
        <w:t xml:space="preserve"> framework for adapting to regional specificities. However, the regional programme has an even greater potential for adaptation, opening up opportunities for the future programming period to develop integrated interventions that better cover the economic, social and innovation dimensions and generate permanent mechanisms for collaboration between regional actors.</w:t>
      </w:r>
    </w:p>
    <w:p w14:paraId="4052656A" w14:textId="275EFA8C" w:rsidR="00A420EC" w:rsidRPr="00A80EDE" w:rsidRDefault="0091600E" w:rsidP="00A80EDE">
      <w:pPr>
        <w:pStyle w:val="Titlu4"/>
        <w:suppressAutoHyphens/>
        <w:rPr>
          <w:rFonts w:eastAsia="MS Gothic"/>
        </w:rPr>
      </w:pPr>
      <w:r w:rsidRPr="00A80EDE">
        <w:rPr>
          <w:rFonts w:eastAsia="MS Gothic"/>
        </w:rPr>
        <w:t>2.2. Flexibility of funding and decision-making mechanisms</w:t>
      </w:r>
    </w:p>
    <w:p w14:paraId="1F5A0970" w14:textId="3B7CE1F3" w:rsidR="00B3329B" w:rsidRPr="00A80EDE" w:rsidRDefault="00E9171C" w:rsidP="00A80EDE">
      <w:pPr>
        <w:pStyle w:val="Style2"/>
        <w:numPr>
          <w:ilvl w:val="0"/>
          <w:numId w:val="16"/>
        </w:numPr>
        <w:suppressAutoHyphens/>
      </w:pPr>
      <w:r w:rsidRPr="00A80EDE">
        <w:t xml:space="preserve">The analysis of the programme documents, the Partnership Agreement and the regulations applicable in the period 2021–2027 reveals a clear and detailed funding framework for regional programmes, structured on five policy objectives with a vision to finance a wide diversity of investments corresponding to the multitude of needs in the region. The 12 specific objectives of the PR Center, each with several actions oriented towards certain types of beneficiaries or types of supported infrastructures, outline the image of a granular program, with funding well directed to specific types of investments and beneficiaries. </w:t>
      </w:r>
    </w:p>
    <w:p w14:paraId="34097298" w14:textId="27A7F7D0" w:rsidR="00A420EC" w:rsidRPr="00A80EDE" w:rsidRDefault="00196A65" w:rsidP="00A80EDE">
      <w:pPr>
        <w:pStyle w:val="Style2"/>
        <w:numPr>
          <w:ilvl w:val="0"/>
          <w:numId w:val="16"/>
        </w:numPr>
        <w:suppressAutoHyphens/>
      </w:pPr>
      <w:r w:rsidRPr="00A80EDE">
        <w:t xml:space="preserve">However, even in the case of municipalities benefiting from allocations reserved for project portfolios, the system maintains the request for funding through distinct calls depending on the type of infrastructure. This model has the advantage of predictability of results and solid control over implementation </w:t>
      </w:r>
      <w:r w:rsidR="0064166B" w:rsidRPr="00A80EDE">
        <w:t>processes but</w:t>
      </w:r>
      <w:r w:rsidRPr="00A80EDE">
        <w:t xml:space="preserve"> limits the flexibility of funding between different types of infrastructures within the same </w:t>
      </w:r>
      <w:r w:rsidR="00F94785" w:rsidRPr="00A80EDE">
        <w:t>UAT</w:t>
      </w:r>
      <w:r w:rsidRPr="00A80EDE">
        <w:t xml:space="preserve"> and obliges local authorities to go through similar administrative processes for each project, which is also reflected in an additional administrative burden at </w:t>
      </w:r>
      <w:r w:rsidR="005F6FE9" w:rsidRPr="00A80EDE">
        <w:t xml:space="preserve">AM </w:t>
      </w:r>
      <w:r w:rsidRPr="00A80EDE">
        <w:t>level.</w:t>
      </w:r>
    </w:p>
    <w:p w14:paraId="697DF7F3" w14:textId="3A5FD905" w:rsidR="00A420EC" w:rsidRPr="00A80EDE" w:rsidRDefault="0091600E" w:rsidP="00A80EDE">
      <w:pPr>
        <w:pStyle w:val="Style2"/>
        <w:numPr>
          <w:ilvl w:val="0"/>
          <w:numId w:val="16"/>
        </w:numPr>
        <w:suppressAutoHyphens/>
      </w:pPr>
      <w:r w:rsidRPr="00A80EDE">
        <w:t>All primary sources of information confirm the advantages of decision-making at regional level, closer to the beneficiaries. Respondents consistently highlighted the concrete benefits of reducing the time it takes to make decisions, approve and sign contracts or addenda.</w:t>
      </w:r>
    </w:p>
    <w:p w14:paraId="209E111A" w14:textId="350A8847" w:rsidR="00A420EC" w:rsidRPr="00A80EDE" w:rsidRDefault="0091600E" w:rsidP="00A80EDE">
      <w:pPr>
        <w:pStyle w:val="Style2"/>
        <w:numPr>
          <w:ilvl w:val="0"/>
          <w:numId w:val="16"/>
        </w:numPr>
        <w:suppressAutoHyphens/>
      </w:pPr>
      <w:r w:rsidRPr="00A80EDE">
        <w:t xml:space="preserve">From the perspective of the legislative framework, the representatives of the </w:t>
      </w:r>
      <w:r w:rsidR="005F6FE9" w:rsidRPr="00A80EDE">
        <w:t xml:space="preserve">AM </w:t>
      </w:r>
      <w:r w:rsidRPr="00A80EDE">
        <w:t xml:space="preserve">stressed that certain regulations, such as GEO 23/2023, have introduced rigid constraints that limit flexibility and affect efficiency. An example mentioned in </w:t>
      </w:r>
      <w:r w:rsidRPr="00A80EDE">
        <w:rPr>
          <w:color w:val="0F9ED5" w:themeColor="accent4"/>
        </w:rPr>
        <w:t>the interviews</w:t>
      </w:r>
      <w:r w:rsidRPr="00A80EDE">
        <w:t xml:space="preserve"> was the obligation to start the eligibility stage within five days after the resolution of the appeals – a requirement impossible to comply with in calls with hundreds of projects submitted simultaneously. In their opinion, a regulatory framework based on general principles, with more flexibility at the level of the </w:t>
      </w:r>
      <w:r w:rsidR="00265A17" w:rsidRPr="00A80EDE">
        <w:t>AM</w:t>
      </w:r>
      <w:r w:rsidRPr="00A80EDE">
        <w:t xml:space="preserve">, respectively margins of adaptation to the specifics of each call, would be more appropriate than the uniform application of the same rules. </w:t>
      </w:r>
    </w:p>
    <w:p w14:paraId="6B02D488" w14:textId="47879268" w:rsidR="00A420EC" w:rsidRPr="00A80EDE" w:rsidRDefault="0091600E" w:rsidP="00A80EDE">
      <w:pPr>
        <w:pStyle w:val="Style2"/>
        <w:numPr>
          <w:ilvl w:val="0"/>
          <w:numId w:val="16"/>
        </w:numPr>
        <w:suppressAutoHyphens/>
      </w:pPr>
      <w:r w:rsidRPr="00A80EDE">
        <w:t xml:space="preserve">The flexibility of the implementation system also aims at the adoption of new tools, adapted to the program, which can bring efficiency. Thus, the </w:t>
      </w:r>
      <w:r w:rsidR="0064166B" w:rsidRPr="00A80EDE">
        <w:t>staff interviewed</w:t>
      </w:r>
      <w:r w:rsidRPr="00A80EDE">
        <w:t xml:space="preserve"> mentioned the introduction of simplified costs and flat rates, considered a simplification measure but also flexibility, both for beneficiaries and for </w:t>
      </w:r>
      <w:r w:rsidR="00265A17" w:rsidRPr="00A80EDE">
        <w:t>AM.</w:t>
      </w:r>
      <w:r w:rsidRPr="00A80EDE">
        <w:t xml:space="preserve"> They also pointed out that these new tools or the application of simplified risk-based and sampling checks, perceived as an administrative burden, generate additional risks, as auditors use stricter control criteria than those applied by </w:t>
      </w:r>
      <w:r w:rsidR="005F6FE9" w:rsidRPr="00A80EDE">
        <w:t>AM</w:t>
      </w:r>
      <w:r w:rsidRPr="00A80EDE">
        <w:t>.</w:t>
      </w:r>
    </w:p>
    <w:p w14:paraId="1E7EEECA" w14:textId="77777777" w:rsidR="0043513E" w:rsidRPr="00A80EDE" w:rsidRDefault="00E10579" w:rsidP="00A80EDE">
      <w:pPr>
        <w:pStyle w:val="Style2"/>
        <w:numPr>
          <w:ilvl w:val="0"/>
          <w:numId w:val="16"/>
        </w:numPr>
        <w:suppressAutoHyphens/>
      </w:pPr>
      <w:r w:rsidRPr="00A80EDE">
        <w:rPr>
          <w:lang w:eastAsia="ro-RO" w:bidi="ne-NP"/>
        </w:rPr>
        <w:t>Staff noted that the processing of payments to beneficiaries is done significantly faster than in the 2014–2020 period, thanks to the elimination of additional checks at central level. "</w:t>
      </w:r>
      <w:r w:rsidRPr="00A80EDE">
        <w:rPr>
          <w:i/>
          <w:iCs/>
        </w:rPr>
        <w:t>The beneficiaries come into possession of the funds much faster... Before, it could take three to four months or even half a year, now the deadline is 20 days for verification, 10 for clarifications and 5 days for payment</w:t>
      </w:r>
      <w:r w:rsidRPr="00A80EDE">
        <w:rPr>
          <w:lang w:eastAsia="ro-RO" w:bidi="ne-NP"/>
        </w:rPr>
        <w:t xml:space="preserve">" (Financial Verification Department). However, it was noted that the high volume of small reimbursement requests generated administrative difficulties, which is why minimum thresholds for reimbursement </w:t>
      </w:r>
      <w:r w:rsidRPr="00A80EDE">
        <w:rPr>
          <w:lang w:eastAsia="ro-RO" w:bidi="ne-NP"/>
        </w:rPr>
        <w:lastRenderedPageBreak/>
        <w:t>requests were introduced, "in order to delay the flow and streamline processing" (project contracting department).</w:t>
      </w:r>
    </w:p>
    <w:p w14:paraId="66A04730" w14:textId="19EFC5AB" w:rsidR="00A420EC" w:rsidRPr="00A80EDE" w:rsidRDefault="001B1CC3" w:rsidP="00A80EDE">
      <w:pPr>
        <w:pStyle w:val="Style2"/>
        <w:numPr>
          <w:ilvl w:val="0"/>
          <w:numId w:val="16"/>
        </w:numPr>
        <w:suppressAutoHyphens/>
      </w:pPr>
      <w:r w:rsidRPr="00A80EDE">
        <w:t>At the implementation level, punctual adjustments have been introduced to increase the flexibility and efficiency of the process. These include setting a minimum value limit for reimbursement claims, with the aim of reducing the excessive volume of documents processed for small amounts, as well as the use of monitoring plans with milestones, which allow for more careful monitoring of progress and adaptation to the concrete situations of beneficiaries.</w:t>
      </w:r>
    </w:p>
    <w:p w14:paraId="2DD7D7ED" w14:textId="5D304625" w:rsidR="00A420EC" w:rsidRPr="00A80EDE" w:rsidRDefault="0091600E" w:rsidP="00A80EDE">
      <w:pPr>
        <w:pStyle w:val="Style2"/>
        <w:numPr>
          <w:ilvl w:val="0"/>
          <w:numId w:val="33"/>
        </w:numPr>
        <w:suppressAutoHyphens/>
      </w:pPr>
      <w:r w:rsidRPr="00A80EDE">
        <w:rPr>
          <w:color w:val="0070C0"/>
        </w:rPr>
        <w:t xml:space="preserve">The results of the survey </w:t>
      </w:r>
      <w:r w:rsidRPr="00A80EDE">
        <w:t xml:space="preserve">show that decentralisation is perceived by AM staff as having </w:t>
      </w:r>
      <w:r w:rsidRPr="00A80EDE">
        <w:rPr>
          <w:b/>
        </w:rPr>
        <w:t>a significant impact on the decision-making process</w:t>
      </w:r>
      <w:r w:rsidRPr="00A80EDE">
        <w:t xml:space="preserve">, especially in the programme design and amendment stages. In terms of implementation, perceptions are more varied, but there is a generally positive </w:t>
      </w:r>
      <w:r w:rsidR="00620B46" w:rsidRPr="00A80EDE">
        <w:t>evaluation</w:t>
      </w:r>
      <w:r w:rsidRPr="00A80EDE">
        <w:t xml:space="preserve"> of the effects of decentralization on the duration of sub-processes involving decisions at the </w:t>
      </w:r>
      <w:r w:rsidR="00C369F9" w:rsidRPr="00A80EDE">
        <w:t>AM</w:t>
      </w:r>
      <w:r w:rsidR="005F6FE9" w:rsidRPr="00A80EDE">
        <w:t xml:space="preserve"> </w:t>
      </w:r>
      <w:r w:rsidRPr="00A80EDE">
        <w:t>level, even if their intensity differs depending on the stage analyzed.</w:t>
      </w:r>
    </w:p>
    <w:p w14:paraId="69844F36" w14:textId="37088755" w:rsidR="00A420EC" w:rsidRPr="00A80EDE" w:rsidRDefault="00832943" w:rsidP="00A80EDE">
      <w:pPr>
        <w:pStyle w:val="Style2"/>
        <w:numPr>
          <w:ilvl w:val="0"/>
          <w:numId w:val="33"/>
        </w:numPr>
        <w:suppressAutoHyphens/>
      </w:pPr>
      <w:r w:rsidRPr="00A80EDE">
        <w:t xml:space="preserve">The validation process also confirms the general finding that decentralization has brought an </w:t>
      </w:r>
      <w:r w:rsidR="0091600E" w:rsidRPr="00A80EDE">
        <w:rPr>
          <w:b/>
          <w:bCs/>
        </w:rPr>
        <w:t xml:space="preserve">increase in decision-making </w:t>
      </w:r>
      <w:r w:rsidR="0064166B" w:rsidRPr="00A80EDE">
        <w:rPr>
          <w:b/>
          <w:bCs/>
        </w:rPr>
        <w:t>flexibility</w:t>
      </w:r>
      <w:r w:rsidR="0064166B" w:rsidRPr="00A80EDE">
        <w:t xml:space="preserve"> but</w:t>
      </w:r>
      <w:r w:rsidR="0091600E" w:rsidRPr="00A80EDE">
        <w:t xml:space="preserve"> also reveals additional aspects on how this flexibility can be strengthened in the current practice of </w:t>
      </w:r>
      <w:r w:rsidR="00265A17" w:rsidRPr="00A80EDE">
        <w:t>AM.</w:t>
      </w:r>
      <w:r w:rsidR="0091600E" w:rsidRPr="00A80EDE">
        <w:t xml:space="preserve"> Participants </w:t>
      </w:r>
      <w:r w:rsidR="0064166B" w:rsidRPr="00A80EDE">
        <w:t>converged on</w:t>
      </w:r>
      <w:r w:rsidR="0091600E" w:rsidRPr="00A80EDE">
        <w:t xml:space="preserve"> </w:t>
      </w:r>
      <w:r w:rsidR="0091600E" w:rsidRPr="00A80EDE">
        <w:rPr>
          <w:b/>
        </w:rPr>
        <w:t>the benefit of decision-making proximity</w:t>
      </w:r>
      <w:r w:rsidR="0091600E" w:rsidRPr="00A80EDE">
        <w:t xml:space="preserve">, which significantly reduced the duration of contracting processes and simplified communication with beneficiaries. At the same time, </w:t>
      </w:r>
      <w:r w:rsidR="0091600E" w:rsidRPr="00A80EDE">
        <w:rPr>
          <w:b/>
        </w:rPr>
        <w:t>the limitations of the national legislative framework</w:t>
      </w:r>
      <w:r w:rsidR="0091600E" w:rsidRPr="00A80EDE">
        <w:t xml:space="preserve"> – in particular the provisions of GEO 23/2023 – continue to restrict the margin of adaptation to the specifics of regional calls, imposing deadlines and procedures that are difficult to apply in calls with a large number of projects.</w:t>
      </w:r>
    </w:p>
    <w:p w14:paraId="13DFC773" w14:textId="0D10FEBA" w:rsidR="00A420EC" w:rsidRPr="00A80EDE" w:rsidRDefault="0091600E" w:rsidP="00A80EDE">
      <w:pPr>
        <w:pStyle w:val="Style2"/>
        <w:numPr>
          <w:ilvl w:val="0"/>
          <w:numId w:val="33"/>
        </w:numPr>
        <w:suppressAutoHyphens/>
      </w:pPr>
      <w:r w:rsidRPr="00A80EDE">
        <w:t xml:space="preserve">The </w:t>
      </w:r>
      <w:r w:rsidRPr="00A80EDE">
        <w:rPr>
          <w:b/>
          <w:color w:val="0070C0"/>
        </w:rPr>
        <w:t>validation</w:t>
      </w:r>
      <w:r w:rsidRPr="00A80EDE">
        <w:t xml:space="preserve"> </w:t>
      </w:r>
      <w:r w:rsidR="0064166B" w:rsidRPr="00A80EDE">
        <w:t>discussions also</w:t>
      </w:r>
      <w:r w:rsidRPr="00A80EDE">
        <w:t xml:space="preserve"> show a </w:t>
      </w:r>
      <w:r w:rsidRPr="00A80EDE">
        <w:rPr>
          <w:b/>
        </w:rPr>
        <w:t>clear need for predictability</w:t>
      </w:r>
      <w:r w:rsidRPr="00A80EDE">
        <w:t xml:space="preserve">, by establishing and respecting a </w:t>
      </w:r>
      <w:r w:rsidRPr="00A80EDE">
        <w:rPr>
          <w:b/>
        </w:rPr>
        <w:t>multi-annual call calendar</w:t>
      </w:r>
      <w:r w:rsidRPr="00A80EDE">
        <w:t xml:space="preserve"> and by reducing the number of calls. The private sector and consultants advocated for </w:t>
      </w:r>
      <w:r w:rsidRPr="00A80EDE">
        <w:rPr>
          <w:b/>
        </w:rPr>
        <w:t xml:space="preserve">broader thematic calls </w:t>
      </w:r>
      <w:r w:rsidRPr="00A80EDE">
        <w:t>that would allow for an integrated approach to investments and more efficient management of resources.</w:t>
      </w:r>
    </w:p>
    <w:p w14:paraId="61768D78" w14:textId="6B9A35DE" w:rsidR="00F16389" w:rsidRPr="00A80EDE" w:rsidRDefault="00BC0E04" w:rsidP="00A80EDE">
      <w:pPr>
        <w:pStyle w:val="Style2"/>
        <w:numPr>
          <w:ilvl w:val="0"/>
          <w:numId w:val="33"/>
        </w:numPr>
        <w:suppressAutoHyphens/>
      </w:pPr>
      <w:r w:rsidRPr="00A80EDE">
        <w:t xml:space="preserve">AM has a constant concern for facilitating the beneficiaries' access to financing. After the approval of the program, in the first quarter of 2023, regional caravans were organized in all six counties, one for the public sector and one for the private sector, during which both the priorities of the PR Center and other funding opportunities from national programs were presented. Also, the </w:t>
      </w:r>
      <w:r w:rsidR="00F94785" w:rsidRPr="00A80EDE">
        <w:t xml:space="preserve">ADR Centre </w:t>
      </w:r>
      <w:r w:rsidRPr="00A80EDE">
        <w:t>permanently provides updated information on the call calendars for all active programs in the region. However, some beneficiaries report that the large number of programs and calls, some with delays, makes it difficult to manage the calendar, and under these conditions it is even more difficult to prepare the necessary documentation within the established deadlines.</w:t>
      </w:r>
    </w:p>
    <w:p w14:paraId="339538AE" w14:textId="753E8302" w:rsidR="00A420EC" w:rsidRPr="00A80EDE" w:rsidRDefault="0091600E" w:rsidP="00A80EDE">
      <w:pPr>
        <w:pStyle w:val="Style2"/>
        <w:numPr>
          <w:ilvl w:val="0"/>
          <w:numId w:val="33"/>
        </w:numPr>
        <w:suppressAutoHyphens/>
      </w:pPr>
      <w:r w:rsidRPr="00A80EDE">
        <w:t xml:space="preserve">The validation confirms that decentralization has produced a positive impact on the flexibility of financing and decision-making mechanisms, but this is limited to operational aspects, the main barrier being the rigid financing framework and the traditional verification and control system in Romania focused on resources and processes to the detriment of results, fears related to errors or insufficient capacity of beneficiaries to manage larger integrated projects. </w:t>
      </w:r>
    </w:p>
    <w:p w14:paraId="2868B195" w14:textId="4F0E411E" w:rsidR="00A420EC" w:rsidRPr="00A80EDE" w:rsidRDefault="0091600E" w:rsidP="00A80EDE">
      <w:pPr>
        <w:pStyle w:val="Titlu4"/>
        <w:suppressAutoHyphens/>
      </w:pPr>
      <w:r w:rsidRPr="00A80EDE">
        <w:t xml:space="preserve">2.3. Administrative capacity of </w:t>
      </w:r>
      <w:r w:rsidR="00C369F9" w:rsidRPr="00A80EDE">
        <w:t xml:space="preserve">AMs </w:t>
      </w:r>
      <w:r w:rsidRPr="00A80EDE">
        <w:t>and regional/local structures</w:t>
      </w:r>
    </w:p>
    <w:p w14:paraId="53716E9B" w14:textId="70E4E89F" w:rsidR="00A420EC" w:rsidRPr="00A80EDE" w:rsidRDefault="00A50E3D" w:rsidP="00A80EDE">
      <w:pPr>
        <w:pStyle w:val="Style2"/>
        <w:numPr>
          <w:ilvl w:val="0"/>
          <w:numId w:val="33"/>
        </w:numPr>
        <w:suppressAutoHyphens/>
      </w:pPr>
      <w:r w:rsidRPr="00A80EDE">
        <w:rPr>
          <w:lang w:eastAsia="ro-RO"/>
        </w:rPr>
        <w:t xml:space="preserve">The decentralization of the regional program had the fundamental effect </w:t>
      </w:r>
      <w:r w:rsidR="0091600E" w:rsidRPr="00A80EDE">
        <w:rPr>
          <w:rFonts w:eastAsia="Times New Roman"/>
          <w:b/>
          <w:lang w:eastAsia="ro-RO"/>
        </w:rPr>
        <w:t xml:space="preserve">of the assumption by the </w:t>
      </w:r>
      <w:r w:rsidR="00C369F9" w:rsidRPr="00A80EDE">
        <w:rPr>
          <w:lang w:eastAsia="ro-RO"/>
        </w:rPr>
        <w:t xml:space="preserve">AM </w:t>
      </w:r>
      <w:r w:rsidR="00041F40" w:rsidRPr="00A80EDE">
        <w:rPr>
          <w:lang w:eastAsia="ro-RO"/>
        </w:rPr>
        <w:t xml:space="preserve">within the </w:t>
      </w:r>
      <w:r w:rsidR="00F94785" w:rsidRPr="00A80EDE">
        <w:rPr>
          <w:lang w:eastAsia="ro-RO"/>
        </w:rPr>
        <w:t>ADR Centre</w:t>
      </w:r>
      <w:r w:rsidR="00041F40" w:rsidRPr="00A80EDE">
        <w:rPr>
          <w:lang w:eastAsia="ro-RO"/>
        </w:rPr>
        <w:t xml:space="preserve">– of a </w:t>
      </w:r>
      <w:r w:rsidR="0091600E" w:rsidRPr="00A80EDE">
        <w:rPr>
          <w:rFonts w:eastAsia="Times New Roman"/>
          <w:b/>
          <w:lang w:eastAsia="ro-RO"/>
        </w:rPr>
        <w:t>long-term process to strengthen the administrative capacity at the level of the region</w:t>
      </w:r>
      <w:r w:rsidR="0091600E" w:rsidRPr="00A80EDE">
        <w:rPr>
          <w:lang w:eastAsia="ro-RO"/>
        </w:rPr>
        <w:t>. This approach, which targets the entire implementation ecosystem (</w:t>
      </w:r>
      <w:r w:rsidR="00C369F9" w:rsidRPr="00A80EDE">
        <w:rPr>
          <w:lang w:eastAsia="ro-RO"/>
        </w:rPr>
        <w:t>AM</w:t>
      </w:r>
      <w:r w:rsidR="0091600E" w:rsidRPr="00A80EDE">
        <w:rPr>
          <w:lang w:eastAsia="ro-RO"/>
        </w:rPr>
        <w:t xml:space="preserve">, beneficiaries, partners), is reflected </w:t>
      </w:r>
      <w:r w:rsidR="0064166B" w:rsidRPr="00A80EDE">
        <w:rPr>
          <w:lang w:eastAsia="ro-RO"/>
        </w:rPr>
        <w:t xml:space="preserve">in </w:t>
      </w:r>
      <w:r w:rsidR="0064166B" w:rsidRPr="00A80EDE">
        <w:rPr>
          <w:rFonts w:eastAsia="Times New Roman"/>
          <w:b/>
          <w:lang w:eastAsia="ro-RO"/>
        </w:rPr>
        <w:t>the</w:t>
      </w:r>
      <w:r w:rsidR="0091600E" w:rsidRPr="00A80EDE">
        <w:rPr>
          <w:rFonts w:eastAsia="Times New Roman"/>
          <w:b/>
          <w:lang w:eastAsia="ro-RO"/>
        </w:rPr>
        <w:t xml:space="preserve"> </w:t>
      </w:r>
      <w:r w:rsidR="0064166B" w:rsidRPr="00A80EDE">
        <w:rPr>
          <w:rFonts w:eastAsia="Times New Roman"/>
          <w:b/>
          <w:lang w:eastAsia="ro-RO"/>
        </w:rPr>
        <w:t>roadmap</w:t>
      </w:r>
      <w:r w:rsidR="0091600E" w:rsidRPr="00A80EDE">
        <w:rPr>
          <w:lang w:eastAsia="ro-RO"/>
        </w:rPr>
        <w:t>, the strategic document that directs and coagulates efforts to increase administrative capacity in the medium and long term.</w:t>
      </w:r>
    </w:p>
    <w:p w14:paraId="41AD031B" w14:textId="49F17B0C" w:rsidR="00A420EC" w:rsidRPr="00A80EDE" w:rsidRDefault="0091600E" w:rsidP="00A80EDE">
      <w:pPr>
        <w:pStyle w:val="Style2"/>
        <w:numPr>
          <w:ilvl w:val="0"/>
          <w:numId w:val="33"/>
        </w:numPr>
        <w:suppressAutoHyphens/>
      </w:pPr>
      <w:r w:rsidRPr="00A80EDE">
        <w:t xml:space="preserve">Strengthening administrative capacity is an assumed objective and targets </w:t>
      </w:r>
      <w:r w:rsidRPr="00A80EDE">
        <w:rPr>
          <w:b/>
        </w:rPr>
        <w:t>"all entities involved in the process of programming, implementation and monitoring of European funds".</w:t>
      </w:r>
      <w:r w:rsidRPr="00A80EDE">
        <w:t xml:space="preserve"> </w:t>
      </w:r>
      <w:r w:rsidRPr="00A80EDE">
        <w:rPr>
          <w:b/>
        </w:rPr>
        <w:t>The general objective</w:t>
      </w:r>
      <w:r w:rsidRPr="00A80EDE">
        <w:t xml:space="preserve"> is represented by the creation of the necessary mechanisms to develop the administrative capacity of the Managing Authority of the Centre Region Programme 2021-2027, beneficiaries and relevant partners, for a better implementation of the Centre Region Programme 2021-2027.</w:t>
      </w:r>
    </w:p>
    <w:p w14:paraId="3DC8AB48" w14:textId="7CEF31DD" w:rsidR="00A420EC" w:rsidRPr="00A80EDE" w:rsidRDefault="0091600E" w:rsidP="00A80EDE">
      <w:pPr>
        <w:pStyle w:val="Style2"/>
        <w:numPr>
          <w:ilvl w:val="0"/>
          <w:numId w:val="33"/>
        </w:numPr>
        <w:suppressAutoHyphens/>
      </w:pPr>
      <w:r w:rsidRPr="00A80EDE">
        <w:rPr>
          <w:lang w:eastAsia="ro-RO"/>
        </w:rPr>
        <w:lastRenderedPageBreak/>
        <w:t xml:space="preserve">The roadmap confirms the </w:t>
      </w:r>
      <w:r w:rsidR="005F6FE9" w:rsidRPr="00A80EDE">
        <w:rPr>
          <w:lang w:eastAsia="ro-RO"/>
        </w:rPr>
        <w:t xml:space="preserve">AM's </w:t>
      </w:r>
      <w:r w:rsidRPr="00A80EDE">
        <w:rPr>
          <w:lang w:eastAsia="ro-RO"/>
        </w:rPr>
        <w:t xml:space="preserve">commitment to operate as a more professional and coherent regional institution. The strategic intervention is not limited to the training of internal </w:t>
      </w:r>
      <w:r w:rsidR="0064166B" w:rsidRPr="00A80EDE">
        <w:rPr>
          <w:lang w:eastAsia="ro-RO"/>
        </w:rPr>
        <w:t>staff but</w:t>
      </w:r>
      <w:r w:rsidRPr="00A80EDE">
        <w:rPr>
          <w:lang w:eastAsia="ro-RO"/>
        </w:rPr>
        <w:t xml:space="preserve"> addresses structural bottlenecks through interventions on five critical dimensions (pillars according to the OECD framework): Human Resources, Organization, Strategic Planning, Relationship with Beneficiaries and Framework Conditions.</w:t>
      </w:r>
    </w:p>
    <w:p w14:paraId="565FCD2F" w14:textId="3F384420" w:rsidR="00A420EC" w:rsidRPr="00A80EDE" w:rsidRDefault="0091600E" w:rsidP="00A80EDE">
      <w:pPr>
        <w:pStyle w:val="Style2"/>
        <w:numPr>
          <w:ilvl w:val="0"/>
          <w:numId w:val="33"/>
        </w:numPr>
        <w:suppressAutoHyphens/>
      </w:pPr>
      <w:r w:rsidRPr="00A80EDE">
        <w:rPr>
          <w:lang w:eastAsia="ro-RO"/>
        </w:rPr>
        <w:t xml:space="preserve">The ultimate goal is to ensure a </w:t>
      </w:r>
      <w:r w:rsidRPr="00A80EDE">
        <w:rPr>
          <w:rFonts w:eastAsia="Times New Roman"/>
          <w:b/>
          <w:lang w:eastAsia="ro-RO"/>
        </w:rPr>
        <w:t>clearer and more predictable relationship</w:t>
      </w:r>
      <w:r w:rsidRPr="00A80EDE">
        <w:rPr>
          <w:lang w:eastAsia="ro-RO"/>
        </w:rPr>
        <w:t xml:space="preserve"> with the beneficiaries. </w:t>
      </w:r>
      <w:r w:rsidR="0064166B" w:rsidRPr="00A80EDE">
        <w:rPr>
          <w:lang w:eastAsia="ro-RO"/>
        </w:rPr>
        <w:t>This</w:t>
      </w:r>
      <w:r w:rsidRPr="00A80EDE">
        <w:rPr>
          <w:lang w:eastAsia="ro-RO"/>
        </w:rPr>
        <w:t xml:space="preserve"> approach essentially creates </w:t>
      </w:r>
      <w:r w:rsidRPr="00A80EDE">
        <w:rPr>
          <w:rFonts w:eastAsia="Times New Roman"/>
          <w:b/>
          <w:lang w:eastAsia="ro-RO"/>
        </w:rPr>
        <w:t>the necessary foundation for an adaptive and emerging regional system</w:t>
      </w:r>
      <w:r w:rsidRPr="00A80EDE">
        <w:rPr>
          <w:lang w:eastAsia="ro-RO"/>
        </w:rPr>
        <w:t>, capable of responding effectively to the future challenges of implementing Cohesion Policy (post-2027 period).</w:t>
      </w:r>
    </w:p>
    <w:p w14:paraId="344F70B9" w14:textId="0DED6616" w:rsidR="00A420EC" w:rsidRPr="00A80EDE" w:rsidRDefault="007966E5" w:rsidP="00A80EDE">
      <w:pPr>
        <w:pStyle w:val="Style2"/>
        <w:numPr>
          <w:ilvl w:val="0"/>
          <w:numId w:val="33"/>
        </w:numPr>
        <w:suppressAutoHyphens/>
      </w:pPr>
      <w:r w:rsidRPr="00A80EDE">
        <w:t xml:space="preserve">According to the opinions expressed by </w:t>
      </w:r>
      <w:r w:rsidRPr="00A80EDE">
        <w:rPr>
          <w:color w:val="0070C0"/>
        </w:rPr>
        <w:t xml:space="preserve">the interviewed </w:t>
      </w:r>
      <w:r w:rsidR="00C369F9" w:rsidRPr="00A80EDE">
        <w:rPr>
          <w:color w:val="0070C0"/>
        </w:rPr>
        <w:t xml:space="preserve">AM </w:t>
      </w:r>
      <w:r w:rsidRPr="00A80EDE">
        <w:rPr>
          <w:color w:val="0070C0"/>
        </w:rPr>
        <w:t>staff</w:t>
      </w:r>
      <w:r w:rsidRPr="00A80EDE">
        <w:t xml:space="preserve">, decentralization had an important impact on the institutional and organizational development of the </w:t>
      </w:r>
      <w:r w:rsidR="00265A17" w:rsidRPr="00A80EDE">
        <w:t>AM</w:t>
      </w:r>
      <w:r w:rsidRPr="00A80EDE">
        <w:t xml:space="preserve">, by extending responsibilities and assuming tasks that previously belonged to the ministry. This change has been described as a difficult but necessary stage that involved a period of accommodation and intensive learning. The new functions </w:t>
      </w:r>
      <w:r w:rsidR="0064166B" w:rsidRPr="00A80EDE">
        <w:t>are</w:t>
      </w:r>
      <w:r w:rsidRPr="00A80EDE">
        <w:t xml:space="preserve"> handling appeals, drafting authorization notes, making payments or evaluating the program. The staff interviewed pointed out that decentralisation has led to the accumulation of new skills, in particular in terms of digitalisation (use of MySMIS in an extended format and adaptation of internal procedures), the application of risk-based verification mechanisms and the use of simplified costs. The interviewees also showed that the direct responsibility for the entire decision-making flow forced them to be more rigorous and to develop an organizational culture based on collaboration and consultation between colleagues for the uniform interpretation of regulations.</w:t>
      </w:r>
    </w:p>
    <w:p w14:paraId="66A42B38" w14:textId="0187C23E" w:rsidR="00A420EC" w:rsidRPr="00A80EDE" w:rsidRDefault="0091600E" w:rsidP="00A80EDE">
      <w:pPr>
        <w:pStyle w:val="Style2"/>
        <w:numPr>
          <w:ilvl w:val="0"/>
          <w:numId w:val="33"/>
        </w:numPr>
        <w:suppressAutoHyphens/>
      </w:pPr>
      <w:r w:rsidRPr="00A80EDE">
        <w:t xml:space="preserve">Another aspect constantly mentioned is related to the </w:t>
      </w:r>
      <w:r w:rsidRPr="00A80EDE">
        <w:rPr>
          <w:b/>
        </w:rPr>
        <w:t>provision of human resources</w:t>
      </w:r>
      <w:r w:rsidRPr="00A80EDE">
        <w:t xml:space="preserve">, </w:t>
      </w:r>
      <w:r w:rsidR="00C369F9" w:rsidRPr="00A80EDE">
        <w:t xml:space="preserve">AM </w:t>
      </w:r>
      <w:r w:rsidRPr="00A80EDE">
        <w:t xml:space="preserve">managing on the one hand to cover the needs in the conditions of doubling the number of positions and the existence of a supply deficit on the market, especially for certain skills. The </w:t>
      </w:r>
      <w:r w:rsidR="005F6FE9" w:rsidRPr="00A80EDE">
        <w:t xml:space="preserve">AM </w:t>
      </w:r>
      <w:r w:rsidRPr="00A80EDE">
        <w:t>was able to manage the variable workload by rotating staff between departments (evaluation, financial verification, monitoring), depending on the peaks of activity. This practice has been perceived as a form of internal flexibility, which supports organizational capacity building. At the same time, progress in standardising and unifying procedures was highlighted, which allowed for a more coherent and efficient way of working than in the previous period.</w:t>
      </w:r>
    </w:p>
    <w:p w14:paraId="6ED6110D" w14:textId="4BFCDC20" w:rsidR="00E7172C" w:rsidRPr="00A80EDE" w:rsidRDefault="00346574" w:rsidP="00A80EDE">
      <w:pPr>
        <w:pStyle w:val="Style2"/>
        <w:numPr>
          <w:ilvl w:val="0"/>
          <w:numId w:val="33"/>
        </w:numPr>
        <w:suppressAutoHyphens/>
      </w:pPr>
      <w:r w:rsidRPr="00A80EDE">
        <w:t xml:space="preserve">The analysis of the impact of decentralization on regional and local structures focuses on the program's partners and </w:t>
      </w:r>
      <w:r w:rsidR="00F94785" w:rsidRPr="00A80EDE">
        <w:t>UAT</w:t>
      </w:r>
      <w:r w:rsidRPr="00A80EDE">
        <w:t xml:space="preserve">s in the region, the main actors through which the program is implemented.  </w:t>
      </w:r>
    </w:p>
    <w:p w14:paraId="4DD60495" w14:textId="71D62326" w:rsidR="006B52FD" w:rsidRPr="00A80EDE" w:rsidRDefault="006B52FD" w:rsidP="00A80EDE">
      <w:pPr>
        <w:pStyle w:val="Style2"/>
        <w:numPr>
          <w:ilvl w:val="0"/>
          <w:numId w:val="33"/>
        </w:numPr>
        <w:suppressAutoHyphens/>
      </w:pPr>
      <w:r w:rsidRPr="00A80EDE">
        <w:t xml:space="preserve">The evaluation notes a sustained effort by the </w:t>
      </w:r>
      <w:r w:rsidR="005F6FE9" w:rsidRPr="00A80EDE">
        <w:t xml:space="preserve">AM </w:t>
      </w:r>
      <w:r w:rsidRPr="00A80EDE">
        <w:t xml:space="preserve">to support beneficiaries and potential beneficiaries to understand the requirements of the programme at all stages. On the PR Centre website there is a number of information and materials available - guides, guidelines, including the Beneficiary Manual, useful materials. Information sessions are also organized at the project submission stage, but also after the signing of the financing contract. </w:t>
      </w:r>
    </w:p>
    <w:p w14:paraId="431ADE28" w14:textId="3E95A206" w:rsidR="00A420EC" w:rsidRPr="00A80EDE" w:rsidRDefault="0091600E" w:rsidP="00A80EDE">
      <w:pPr>
        <w:pStyle w:val="Style2"/>
        <w:numPr>
          <w:ilvl w:val="0"/>
          <w:numId w:val="33"/>
        </w:numPr>
        <w:suppressAutoHyphens/>
      </w:pPr>
      <w:r w:rsidRPr="00A80EDE">
        <w:t xml:space="preserve">The capacity of regional actors (entities involved in the implementation of the programme) varies by category. Municipalities and small towns report in </w:t>
      </w:r>
      <w:r w:rsidRPr="00A80EDE">
        <w:rPr>
          <w:color w:val="0070C0"/>
        </w:rPr>
        <w:t xml:space="preserve">the case </w:t>
      </w:r>
      <w:r w:rsidR="005E0119" w:rsidRPr="00A80EDE">
        <w:rPr>
          <w:color w:val="0070C0"/>
        </w:rPr>
        <w:t>studies there</w:t>
      </w:r>
      <w:r w:rsidR="0064166B" w:rsidRPr="00A80EDE">
        <w:rPr>
          <w:color w:val="0070C0"/>
        </w:rPr>
        <w:t xml:space="preserve"> </w:t>
      </w:r>
      <w:r w:rsidR="005E0119" w:rsidRPr="00A80EDE">
        <w:rPr>
          <w:b/>
        </w:rPr>
        <w:t>are difficulties</w:t>
      </w:r>
      <w:r w:rsidRPr="00A80EDE">
        <w:rPr>
          <w:b/>
        </w:rPr>
        <w:t xml:space="preserve"> in accessing funds, due to the reduced administrative capacity</w:t>
      </w:r>
      <w:r w:rsidRPr="00A80EDE">
        <w:t xml:space="preserve">. Competition with big cities is also mentioned when there are no distinct calls. In order to reduce these disparities, the architecture of the calls for projects within PR Centre introduces differentiated mechanisms, designed to reduce competitive pressure and balance the chances of accessing funding. Thus, calls dedicated to rural areas allow municipalities to submit projects without competing with cities or municipalities, and support through partnership agreements with county councils works as a compensatory tool for the lack of administrative capacity (e.g. Interventions 7.1.1 and 7.1.2, aimed at the development of rural communities). In parallel, calls dedicated to cities – for green-blue infrastructure (3.4), urban mobility (4.2) or urban regeneration (8.2) – create a separate funding framework, avoiding direct competition with municipalities and facilitating a fairer allocation of resources. However, despite these improvements in approach, some beneficiaries of small </w:t>
      </w:r>
      <w:r w:rsidR="00F94785" w:rsidRPr="00A80EDE">
        <w:t>UAT</w:t>
      </w:r>
      <w:r w:rsidRPr="00A80EDE">
        <w:t>s perceive that the level of complexity of the documentation and the financing application is similar to municipalities, given the recognized differences in capacity.</w:t>
      </w:r>
    </w:p>
    <w:p w14:paraId="78C98410" w14:textId="3EDB24A2" w:rsidR="00A420EC" w:rsidRPr="00A80EDE" w:rsidRDefault="00EE4860" w:rsidP="00A80EDE">
      <w:pPr>
        <w:pStyle w:val="Style2"/>
        <w:numPr>
          <w:ilvl w:val="0"/>
          <w:numId w:val="33"/>
        </w:numPr>
        <w:suppressAutoHyphens/>
      </w:pPr>
      <w:r w:rsidRPr="00A80EDE">
        <w:lastRenderedPageBreak/>
        <w:t xml:space="preserve">The validation phase confirmed the persistence of differences in capacity between types of beneficiaries, while providing a more nuanced understanding of the causes and possible solutions. The problems frequently reported concern the lack of contract management skills, the shortage of specialized technical staff and the difficulties of recruitment in a context marked by a shortage of specialists – such as engineers – even more pronounced in rural areas and small towns, already affected by migration processes and the loss of qualified personnel (in English in English brain-drain). The overlapping of project submission deadlines on different active funding or implementation programmes amplifies these limitations and puts additional pressure on administrative capacity, </w:t>
      </w:r>
    </w:p>
    <w:p w14:paraId="65DC4A5A" w14:textId="733B0824" w:rsidR="00A420EC" w:rsidRPr="00A80EDE" w:rsidRDefault="0091600E" w:rsidP="00A80EDE">
      <w:pPr>
        <w:pStyle w:val="Style2"/>
        <w:numPr>
          <w:ilvl w:val="0"/>
          <w:numId w:val="33"/>
        </w:numPr>
        <w:suppressAutoHyphens/>
      </w:pPr>
      <w:r w:rsidRPr="00A80EDE">
        <w:t xml:space="preserve">A distinct aspect pointed out during the workshop with the regional consultants refers to the </w:t>
      </w:r>
      <w:r w:rsidRPr="00A80EDE">
        <w:rPr>
          <w:b/>
        </w:rPr>
        <w:t xml:space="preserve">lack of an institutional culture of integrated project management </w:t>
      </w:r>
      <w:r w:rsidR="0016300C" w:rsidRPr="00A80EDE">
        <w:t xml:space="preserve">at the level of public beneficiaries and of the partnership for large projects that go beyond the borders of the </w:t>
      </w:r>
      <w:r w:rsidR="00F94785" w:rsidRPr="00A80EDE">
        <w:t>UAT</w:t>
      </w:r>
      <w:r w:rsidR="0016300C" w:rsidRPr="00A80EDE">
        <w:t xml:space="preserve">s. The consultants showed that in most small </w:t>
      </w:r>
      <w:r w:rsidR="00F94785" w:rsidRPr="00A80EDE">
        <w:t>UAT</w:t>
      </w:r>
      <w:r w:rsidR="0016300C" w:rsidRPr="00A80EDE">
        <w:t xml:space="preserve">s, </w:t>
      </w:r>
      <w:r w:rsidRPr="00A80EDE">
        <w:rPr>
          <w:b/>
        </w:rPr>
        <w:t>there is no real coordination between the project management team and the technical designers</w:t>
      </w:r>
      <w:r w:rsidRPr="00A80EDE">
        <w:t>, which leads to design errors, repeated revisions of documentation and delays in execution. Projects are often treated as 'sequences of documents', not as integrated processes, and communication between the actors involved is limited to the formal submission of files.</w:t>
      </w:r>
    </w:p>
    <w:p w14:paraId="68637D05" w14:textId="368E3A6C" w:rsidR="009E1E97" w:rsidRPr="00A80EDE" w:rsidRDefault="0091600E" w:rsidP="00A80EDE">
      <w:pPr>
        <w:pStyle w:val="Style2"/>
        <w:numPr>
          <w:ilvl w:val="0"/>
          <w:numId w:val="33"/>
        </w:numPr>
        <w:suppressAutoHyphens/>
      </w:pPr>
      <w:r w:rsidRPr="00A80EDE">
        <w:t xml:space="preserve">This situation denotes the lack of an organizational culture of planning and interprofessional cooperation, which affects the efficiency of implementation. According to the consultants, the creation of standardised project management mechanisms – integrated management plans, joint training for managers and designers, clearly defined document templates and responsibilities – would significantly contribute to the </w:t>
      </w:r>
      <w:r w:rsidR="0064166B" w:rsidRPr="00A80EDE">
        <w:t>professionalization</w:t>
      </w:r>
      <w:r w:rsidRPr="00A80EDE">
        <w:t xml:space="preserve"> of public beneficiaries and the reduction of operational errors. These needs are not specific to the implementation of the regional </w:t>
      </w:r>
      <w:r w:rsidR="0064166B" w:rsidRPr="00A80EDE">
        <w:t>programme but</w:t>
      </w:r>
      <w:r w:rsidRPr="00A80EDE">
        <w:t xml:space="preserve"> reflect broader limitations of the capacity of the local public administration in investment management, underlining the need for administrative modernisation measures.</w:t>
      </w:r>
    </w:p>
    <w:p w14:paraId="33D17A9C" w14:textId="704EA587" w:rsidR="00A420EC" w:rsidRPr="00A80EDE" w:rsidRDefault="0091600E" w:rsidP="00A80EDE">
      <w:pPr>
        <w:pStyle w:val="Style2"/>
        <w:numPr>
          <w:ilvl w:val="0"/>
          <w:numId w:val="33"/>
        </w:numPr>
        <w:suppressAutoHyphens/>
      </w:pPr>
      <w:r w:rsidRPr="00A80EDE">
        <w:t xml:space="preserve">In response, the consulted actors also proposed non-formal support solutions, such as </w:t>
      </w:r>
      <w:r w:rsidRPr="00A80EDE">
        <w:rPr>
          <w:b/>
        </w:rPr>
        <w:t>short thematic webinars</w:t>
      </w:r>
      <w:r w:rsidRPr="00A80EDE">
        <w:t xml:space="preserve">, </w:t>
      </w:r>
      <w:r w:rsidRPr="00A80EDE">
        <w:rPr>
          <w:b/>
        </w:rPr>
        <w:t>mini-practical guides</w:t>
      </w:r>
      <w:r w:rsidRPr="00A80EDE">
        <w:t xml:space="preserve">, </w:t>
      </w:r>
      <w:r w:rsidRPr="00A80EDE">
        <w:rPr>
          <w:b/>
        </w:rPr>
        <w:t>communities of practice</w:t>
      </w:r>
      <w:r w:rsidRPr="00A80EDE">
        <w:t xml:space="preserve"> and </w:t>
      </w:r>
      <w:r w:rsidRPr="00A80EDE">
        <w:rPr>
          <w:b/>
        </w:rPr>
        <w:t>mentoring between beneficiaries</w:t>
      </w:r>
      <w:r w:rsidRPr="00A80EDE">
        <w:t xml:space="preserve">, especially between partner municipalities and municipalities. It was also suggested to create an </w:t>
      </w:r>
      <w:r w:rsidRPr="00A80EDE">
        <w:rPr>
          <w:b/>
        </w:rPr>
        <w:t>interactive digital platform</w:t>
      </w:r>
      <w:r w:rsidRPr="00A80EDE">
        <w:t>, which would centralize lessons learned and examples of good practice, allowing easy access to standardized resources and clarifications.</w:t>
      </w:r>
    </w:p>
    <w:p w14:paraId="6AA964B6" w14:textId="7105B6D5" w:rsidR="001F4F31" w:rsidRPr="00A80EDE" w:rsidRDefault="001F4F31" w:rsidP="00A80EDE">
      <w:pPr>
        <w:pStyle w:val="Style2"/>
        <w:numPr>
          <w:ilvl w:val="0"/>
          <w:numId w:val="33"/>
        </w:numPr>
        <w:suppressAutoHyphens/>
      </w:pPr>
      <w:r w:rsidRPr="00A80EDE">
        <w:t>SMEs and the private sector, although they submit a significant number of projects – generally of lower values – raise the challenge for the program to create financing mechanisms that are simple enough not to generate an administrative burden and, at the same time, to encourage the development of business quality. The inclusion of consultancy services as an eligible expenditure makes it possible to ensure the necessary skills in projects. Consultants' opinions were divided: some consider that the requirements of the funding documentation have become more complex, and the amounts eligible for advice do not fully cover the effort required; Others consider that it would be useful to include consulting services oriented to the development of the business, not just to the preparation of financing documentation.</w:t>
      </w:r>
    </w:p>
    <w:p w14:paraId="06597716" w14:textId="1680E9A5" w:rsidR="00A420EC" w:rsidRPr="00A80EDE" w:rsidRDefault="0091600E" w:rsidP="00A80EDE">
      <w:pPr>
        <w:pStyle w:val="Style2"/>
        <w:numPr>
          <w:ilvl w:val="0"/>
          <w:numId w:val="33"/>
        </w:numPr>
        <w:suppressAutoHyphens/>
      </w:pPr>
      <w:r w:rsidRPr="00A80EDE">
        <w:t xml:space="preserve">For </w:t>
      </w:r>
      <w:r w:rsidRPr="00A80EDE">
        <w:rPr>
          <w:b/>
        </w:rPr>
        <w:t>private beneficiaries</w:t>
      </w:r>
      <w:r w:rsidRPr="00A80EDE">
        <w:t xml:space="preserve">, the validation confirmed that the main </w:t>
      </w:r>
      <w:r w:rsidR="0064166B" w:rsidRPr="00A80EDE">
        <w:t xml:space="preserve">obstacles </w:t>
      </w:r>
      <w:r w:rsidR="0064166B" w:rsidRPr="00A80EDE">
        <w:rPr>
          <w:b/>
        </w:rPr>
        <w:t>relate</w:t>
      </w:r>
      <w:r w:rsidRPr="00A80EDE">
        <w:rPr>
          <w:b/>
        </w:rPr>
        <w:t xml:space="preserve"> to limited internal administrative capacity</w:t>
      </w:r>
      <w:r w:rsidRPr="00A80EDE">
        <w:t xml:space="preserve"> and the complexity of reporting procedures. SMEs and clusters demand more applied training formats, focused on concrete examples and an understanding of the implementation requirements. In particular, the clusters signaled the need for support for </w:t>
      </w:r>
      <w:r w:rsidRPr="00A80EDE">
        <w:rPr>
          <w:b/>
        </w:rPr>
        <w:t>the professionalization of management teams</w:t>
      </w:r>
      <w:r w:rsidRPr="00A80EDE">
        <w:t xml:space="preserve"> and for the development of their own organizational capacity.</w:t>
      </w:r>
    </w:p>
    <w:p w14:paraId="313A3440" w14:textId="3F0F7033" w:rsidR="00A420EC" w:rsidRPr="00A80EDE" w:rsidRDefault="0091600E" w:rsidP="00A80EDE">
      <w:pPr>
        <w:pStyle w:val="Style2"/>
        <w:numPr>
          <w:ilvl w:val="0"/>
          <w:numId w:val="33"/>
        </w:numPr>
        <w:suppressAutoHyphens/>
      </w:pPr>
      <w:r w:rsidRPr="00A80EDE">
        <w:t xml:space="preserve">Thus, the administrative capacity of the beneficiaries remains a critical condition for the efficiency of the implementation. Its strengthening cannot be achieved only through traditional training, but through lifelong learning mechanisms, cooperation between beneficiaries and practical support provided by the </w:t>
      </w:r>
      <w:r w:rsidR="005F6FE9" w:rsidRPr="00A80EDE">
        <w:t xml:space="preserve">AM </w:t>
      </w:r>
      <w:r w:rsidRPr="00A80EDE">
        <w:t>throughout the entire project lifecycle.</w:t>
      </w:r>
    </w:p>
    <w:p w14:paraId="20F34A00" w14:textId="77777777" w:rsidR="00A420EC" w:rsidRPr="00A80EDE" w:rsidRDefault="0091600E" w:rsidP="00A80EDE">
      <w:pPr>
        <w:pStyle w:val="Titlu4"/>
        <w:suppressAutoHyphens/>
      </w:pPr>
      <w:r w:rsidRPr="00A80EDE">
        <w:lastRenderedPageBreak/>
        <w:t>2.4. Collaboration with national and European structures in the context of the decentralisation of the Programme</w:t>
      </w:r>
    </w:p>
    <w:p w14:paraId="306AB82B" w14:textId="199DFFD4" w:rsidR="00A420EC" w:rsidRPr="00A80EDE" w:rsidRDefault="00D90149" w:rsidP="00A80EDE">
      <w:pPr>
        <w:pStyle w:val="Style2"/>
        <w:numPr>
          <w:ilvl w:val="0"/>
          <w:numId w:val="33"/>
        </w:numPr>
        <w:suppressAutoHyphens/>
      </w:pPr>
      <w:r w:rsidRPr="00A80EDE">
        <w:t xml:space="preserve">Regarding the collaboration with national and European structures, the results of the survey applied to the staff of AM PR Centre show differences between the perceptions of the management staff and those of the executive staff. Among managers, the collaboration with MIPE and the European Commission is assessed as predominantly positive (approx. two-thirds of respondents indicated 'very good' or 'good' options), while in the case of the Audit Authority and the Certification and Paying Authority there is both a high proportion of non-responses, probably associated with lower interactions with these structures, as well as moderate evaluations. Among the executive staff, the distribution of responses is more varied: The collaboration with MIPE and the European Commission is positively appreciated by about half of the respondents, but in both cases the "don't know/don't answer" answers exceed 35–40%, indicating a low level of direct interaction. For the Audit Authority, positive ratings drop to around 15–20%, and about half of respondents do not express an opinion, suggesting even more limited interaction. A similar profile can be found in the case of the Certification and Payment Authority, where the collaboration is positively evaluated by about 40%, while the rest of the responses are divided between moderate evaluations and the lack of an opinion. These findings show that relations with national and European structures are generally perceived </w:t>
      </w:r>
      <w:r w:rsidR="0064166B" w:rsidRPr="00A80EDE">
        <w:t>favorably</w:t>
      </w:r>
      <w:r w:rsidRPr="00A80EDE">
        <w:t>, but there are differences between institutions and between staff levels.</w:t>
      </w:r>
    </w:p>
    <w:p w14:paraId="3C72F424" w14:textId="0C8E8A8D" w:rsidR="008C351D" w:rsidRPr="00A80EDE" w:rsidRDefault="008C351D" w:rsidP="00A80EDE">
      <w:pPr>
        <w:pStyle w:val="Style2"/>
        <w:numPr>
          <w:ilvl w:val="0"/>
          <w:numId w:val="33"/>
        </w:numPr>
        <w:suppressAutoHyphens/>
      </w:pPr>
      <w:r w:rsidRPr="00A80EDE">
        <w:t>The collaboration with the Certification and Payment Authority was described as efficient, ensuring quick access to the resources of the state budget.</w:t>
      </w:r>
    </w:p>
    <w:p w14:paraId="09281F1E" w14:textId="5E1AC766" w:rsidR="00A420EC" w:rsidRPr="00A80EDE" w:rsidRDefault="0091600E" w:rsidP="00A80EDE">
      <w:pPr>
        <w:pStyle w:val="Style2"/>
        <w:numPr>
          <w:ilvl w:val="0"/>
          <w:numId w:val="33"/>
        </w:numPr>
        <w:suppressAutoHyphens/>
      </w:pPr>
      <w:r w:rsidRPr="00A80EDE">
        <w:t xml:space="preserve">From the interviews, difficulties arise related to the lack of a unitary approach </w:t>
      </w:r>
      <w:r w:rsidR="0064166B" w:rsidRPr="00A80EDE">
        <w:t>to</w:t>
      </w:r>
      <w:r w:rsidRPr="00A80EDE">
        <w:t xml:space="preserve"> challenging cases, generated by the different interpretations formulated by </w:t>
      </w:r>
      <w:r w:rsidR="00265A17" w:rsidRPr="00A80EDE">
        <w:t>AM</w:t>
      </w:r>
      <w:r w:rsidRPr="00A80EDE">
        <w:t xml:space="preserve">, ANAP, MIPE and the Audit Authority, which creates uncertainty and the potential for financial corrections. This problem is confirmed at the validation stage, highlighting the fact that institutional relations are generally functional, differences in interpretation of the application of the rules diminish trust and lead to a conservative approach to avoid possible corrections. For this reason, the experience of implementing simplified cost options was complicated, inefficient and received with withdrawals from beneficiaries for the same reason of mistrust. </w:t>
      </w:r>
    </w:p>
    <w:p w14:paraId="633E7F0A" w14:textId="475D574E" w:rsidR="00A420EC" w:rsidRPr="00A80EDE" w:rsidRDefault="0091600E" w:rsidP="00A80EDE">
      <w:pPr>
        <w:pStyle w:val="Style2"/>
        <w:numPr>
          <w:ilvl w:val="0"/>
          <w:numId w:val="33"/>
        </w:numPr>
        <w:suppressAutoHyphens/>
      </w:pPr>
      <w:r w:rsidRPr="00A80EDE">
        <w:t>Interviews showed that the lack of uniform methodological clarifications at national level leads to approaches with different levels of institutional prudence: some MAs prefer a conservative approach to avoid audit corrections, while others apply the proportionality principle more flexibly. Thus, simplification efforts are blocked. Equally, the verification and control system focused on expenses and processes blocks results-oriented financing mechanisms.</w:t>
      </w:r>
    </w:p>
    <w:p w14:paraId="6F9C84DC" w14:textId="4E50370F" w:rsidR="00A420EC" w:rsidRPr="00A80EDE" w:rsidRDefault="0091600E" w:rsidP="00A80EDE">
      <w:pPr>
        <w:pStyle w:val="Style2"/>
        <w:numPr>
          <w:ilvl w:val="0"/>
          <w:numId w:val="33"/>
        </w:numPr>
        <w:suppressAutoHyphens/>
      </w:pPr>
      <w:r w:rsidRPr="00A80EDE">
        <w:t xml:space="preserve">Both the ACP and the </w:t>
      </w:r>
      <w:r w:rsidR="005F6FE9" w:rsidRPr="00A80EDE">
        <w:t xml:space="preserve">AM </w:t>
      </w:r>
      <w:r w:rsidRPr="00A80EDE">
        <w:t>PR Centre converge on the need to establish a formal mechanism for regular clarification between the MIPE, ACP, the Audit Authority and the regional MAs, in the form of a national technical group or joint methodological notes. They would ensure consistency in the uniform interpretation and application of the rules, reducing the risk of corrections and building trust between institutions. On the other hand, opinions have been expressed according to which such working groups have been created without bringing the expected effects, suggesting that these dissonances have deeper systemic causes that cannot be solved by these mechanisms within the system, but by a profound reform of the verification and control system.</w:t>
      </w:r>
    </w:p>
    <w:p w14:paraId="62A1F125" w14:textId="77777777" w:rsidR="00A420EC" w:rsidRPr="00A80EDE" w:rsidRDefault="0091600E" w:rsidP="00A80EDE">
      <w:pPr>
        <w:pStyle w:val="Titlu2"/>
        <w:suppressAutoHyphens/>
        <w:rPr>
          <w:rFonts w:hint="eastAsia"/>
        </w:rPr>
      </w:pPr>
      <w:bookmarkStart w:id="21" w:name="_Toc207608289"/>
      <w:bookmarkStart w:id="22" w:name="_Toc216119113"/>
      <w:r w:rsidRPr="00A80EDE">
        <w:t>IE3. To what extent does the current regulatory framework contribute to strengthening the administrative capacity and facilitate the efficient implementation of the regional development policy through the PR Centre?</w:t>
      </w:r>
      <w:bookmarkEnd w:id="21"/>
      <w:bookmarkEnd w:id="22"/>
    </w:p>
    <w:p w14:paraId="79ACF0C7" w14:textId="77777777" w:rsidR="00A420EC" w:rsidRPr="00A80EDE" w:rsidRDefault="0091600E" w:rsidP="00A80EDE">
      <w:pPr>
        <w:pStyle w:val="Titlu4"/>
        <w:suppressAutoHyphens/>
      </w:pPr>
      <w:r w:rsidRPr="00A80EDE">
        <w:t xml:space="preserve">Summary of findings </w:t>
      </w:r>
    </w:p>
    <w:p w14:paraId="7A9E0869" w14:textId="446076CF" w:rsidR="00A420EC" w:rsidRPr="00A80EDE" w:rsidRDefault="0091600E" w:rsidP="00A80EDE">
      <w:pPr>
        <w:pStyle w:val="Style2"/>
        <w:numPr>
          <w:ilvl w:val="0"/>
          <w:numId w:val="33"/>
        </w:numPr>
        <w:suppressAutoHyphens/>
      </w:pPr>
      <w:r w:rsidRPr="00A80EDE">
        <w:t xml:space="preserve">The current regulatory framework significantly supports the effective implementation of the PR Center by clarifying responsibilities and strengthening the role of </w:t>
      </w:r>
      <w:r w:rsidR="00265A17" w:rsidRPr="00A80EDE">
        <w:t>AM</w:t>
      </w:r>
      <w:r w:rsidRPr="00A80EDE">
        <w:t xml:space="preserve">, modernizing processes and </w:t>
      </w:r>
      <w:r w:rsidRPr="00A80EDE">
        <w:lastRenderedPageBreak/>
        <w:t>accelerating evaluation and contracting, but the impact is limited by non-unitary interpretations and still rigid-bureaucratic procedures, which requires further simplification and results-orientation.</w:t>
      </w:r>
    </w:p>
    <w:p w14:paraId="1BB5A9BF" w14:textId="1707E85F" w:rsidR="00A420EC" w:rsidRPr="00A80EDE" w:rsidRDefault="0091600E" w:rsidP="00A80EDE">
      <w:pPr>
        <w:pStyle w:val="Style2"/>
        <w:numPr>
          <w:ilvl w:val="0"/>
          <w:numId w:val="33"/>
        </w:numPr>
        <w:suppressAutoHyphens/>
      </w:pPr>
      <w:r w:rsidRPr="00A80EDE">
        <w:t xml:space="preserve">The current regulatory framework has played a decisive role in the operationalization of regional programs, by assigning to </w:t>
      </w:r>
      <w:r w:rsidR="00265A17" w:rsidRPr="00A80EDE">
        <w:t xml:space="preserve">ADRs </w:t>
      </w:r>
      <w:r w:rsidRPr="00A80EDE">
        <w:t xml:space="preserve">the role of Managing Authorities with full administrative prerogatives. Successive legislative amendments (GEO 122/2020, GEO 88/2022, additions to Law 315/2004) have clarified responsibilities, control mechanisms and institutional relations, allowing </w:t>
      </w:r>
      <w:r w:rsidR="00265A17" w:rsidRPr="00A80EDE">
        <w:t xml:space="preserve">ADRs </w:t>
      </w:r>
      <w:r w:rsidRPr="00A80EDE">
        <w:t>to fully manage the life cycle of projects and to have the necessary human, financial and logistical resources. At the same time, the development of MySMIS2021+, the expansion of simplified cost options and the digitization of flows have modernized technical processes.</w:t>
      </w:r>
    </w:p>
    <w:p w14:paraId="233DB2C5" w14:textId="17E6BBCD" w:rsidR="00A420EC" w:rsidRPr="00A80EDE" w:rsidRDefault="0091600E" w:rsidP="00A80EDE">
      <w:pPr>
        <w:pStyle w:val="Style2"/>
        <w:numPr>
          <w:ilvl w:val="0"/>
          <w:numId w:val="33"/>
        </w:numPr>
        <w:suppressAutoHyphens/>
      </w:pPr>
      <w:r w:rsidRPr="00A80EDE">
        <w:t xml:space="preserve">For </w:t>
      </w:r>
      <w:r w:rsidR="00265A17" w:rsidRPr="00A80EDE">
        <w:t xml:space="preserve">PR </w:t>
      </w:r>
      <w:r w:rsidR="00620B46" w:rsidRPr="00A80EDE">
        <w:t>for the Central Region</w:t>
      </w:r>
      <w:r w:rsidRPr="00A80EDE">
        <w:t xml:space="preserve">, these changes had immediate effects: the status of </w:t>
      </w:r>
      <w:r w:rsidR="005F6FE9" w:rsidRPr="00A80EDE">
        <w:t xml:space="preserve">AM </w:t>
      </w:r>
      <w:r w:rsidRPr="00A80EDE">
        <w:t>strengthened operational capacity, reduced dependence on the central level and shortened evaluation and contracting times. The survey applied to AM staff indicates a very high level of confidence in the clarity and relevance of the regulatory framework (100% of respondents consider it clear and adequate), confirming the robustness of the resulting legislative arrangement. However, the interviews and open answers point to persistent limitations: non-unitary interpretations in the field of public procurement, the need for adjustments to Law 315/2004, risks generated by successive legislative changes and some procedures perceived as inefficient (e.g. succession of evaluation stages).</w:t>
      </w:r>
    </w:p>
    <w:p w14:paraId="10FFF3C1" w14:textId="7DE06225" w:rsidR="00A420EC" w:rsidRPr="00A80EDE" w:rsidRDefault="00AE7592" w:rsidP="00A80EDE">
      <w:pPr>
        <w:pStyle w:val="Style2"/>
        <w:numPr>
          <w:ilvl w:val="0"/>
          <w:numId w:val="33"/>
        </w:numPr>
        <w:suppressAutoHyphens/>
      </w:pPr>
      <w:r w:rsidRPr="00A80EDE">
        <w:t xml:space="preserve">Looking ahead, the proposals for the period 2028–2034 highlight the need to further simplify and </w:t>
      </w:r>
      <w:r w:rsidR="0064166B" w:rsidRPr="00A80EDE">
        <w:t>modernize</w:t>
      </w:r>
      <w:r w:rsidRPr="00A80EDE">
        <w:t xml:space="preserve"> monitoring and audit systems, with a stronger focus on results, a real paradigm shift in verification and control, together with risk-proportionate auditing, digitalisation and interoperability. For </w:t>
      </w:r>
      <w:r w:rsidR="00620B46" w:rsidRPr="00A80EDE">
        <w:t>RP for the Central Region</w:t>
      </w:r>
      <w:r w:rsidRPr="00A80EDE">
        <w:t>, this transition involves strengthening administrative capacity, preparing in advance for new approaches and developing an adaptive and resilient implementation system.</w:t>
      </w:r>
    </w:p>
    <w:p w14:paraId="4636F1D4" w14:textId="0C49DAF6" w:rsidR="00A420EC" w:rsidRPr="00A80EDE" w:rsidRDefault="0091600E" w:rsidP="00A80EDE">
      <w:pPr>
        <w:pStyle w:val="Titlu4"/>
        <w:suppressAutoHyphens/>
      </w:pPr>
      <w:r w:rsidRPr="00A80EDE">
        <w:t>3.</w:t>
      </w:r>
      <w:r w:rsidR="0064166B" w:rsidRPr="00A80EDE">
        <w:t>1. Regulatory</w:t>
      </w:r>
      <w:r w:rsidRPr="00A80EDE">
        <w:t xml:space="preserve"> framework – stability and investment facilitation</w:t>
      </w:r>
    </w:p>
    <w:p w14:paraId="44E82D21" w14:textId="29BEC72B" w:rsidR="00A420EC" w:rsidRPr="00A80EDE" w:rsidRDefault="0091600E" w:rsidP="00A80EDE">
      <w:pPr>
        <w:pStyle w:val="Style2"/>
        <w:numPr>
          <w:ilvl w:val="0"/>
          <w:numId w:val="33"/>
        </w:numPr>
        <w:suppressAutoHyphens/>
        <w:rPr>
          <w:i/>
          <w:iCs/>
        </w:rPr>
      </w:pPr>
      <w:r w:rsidRPr="00A80EDE">
        <w:t xml:space="preserve">Literature review </w:t>
      </w:r>
      <w:r w:rsidRPr="00A80EDE">
        <w:rPr>
          <w:color w:val="0070C0"/>
        </w:rPr>
        <w:t>was</w:t>
      </w:r>
      <w:r w:rsidRPr="00A80EDE">
        <w:t xml:space="preserve"> </w:t>
      </w:r>
      <w:r w:rsidR="0064166B" w:rsidRPr="00A80EDE">
        <w:t>the basis</w:t>
      </w:r>
      <w:r w:rsidRPr="00A80EDE">
        <w:t xml:space="preserve"> of the research to answer this evaluation question and led to the following findings. </w:t>
      </w:r>
      <w:r w:rsidR="00605A06" w:rsidRPr="00A80EDE">
        <w:rPr>
          <w:i/>
          <w:iCs/>
        </w:rPr>
        <w:t>An extensive presentation of the results of the desk review can be found in Annex 1.1.2.</w:t>
      </w:r>
    </w:p>
    <w:p w14:paraId="1A182009" w14:textId="77777777" w:rsidR="00A420EC" w:rsidRPr="00A80EDE" w:rsidRDefault="0091600E" w:rsidP="00A80EDE">
      <w:pPr>
        <w:pStyle w:val="Style2"/>
        <w:numPr>
          <w:ilvl w:val="0"/>
          <w:numId w:val="33"/>
        </w:numPr>
        <w:suppressAutoHyphens/>
      </w:pPr>
      <w:r w:rsidRPr="00A80EDE">
        <w:t>The decision to move from a national regional development program to regional programs was complicated due to the administrative structure in Romania. The country does not have regional authorities with administrative status, as they exist in other Member States with autonomous regions or with a consolidated regional level.</w:t>
      </w:r>
    </w:p>
    <w:p w14:paraId="2A91B2F7" w14:textId="0D33B66A" w:rsidR="00A420EC" w:rsidRPr="00A80EDE" w:rsidRDefault="0091600E" w:rsidP="00A80EDE">
      <w:pPr>
        <w:pStyle w:val="Style2"/>
        <w:numPr>
          <w:ilvl w:val="0"/>
          <w:numId w:val="33"/>
        </w:numPr>
        <w:suppressAutoHyphens/>
      </w:pPr>
      <w:r w:rsidRPr="00A80EDE">
        <w:t xml:space="preserve">The main constraint was the fact that, at the beginning of the 2021–2027 programming period, there were no regional public institutions that could be directly designated as managing authorities, with administrative powers and their own budget. On the other hand, the context was </w:t>
      </w:r>
      <w:r w:rsidR="0064166B" w:rsidRPr="00A80EDE">
        <w:t>favorable</w:t>
      </w:r>
      <w:r w:rsidRPr="00A80EDE">
        <w:t xml:space="preserve"> due to the existence of </w:t>
      </w:r>
      <w:r w:rsidR="00265A17" w:rsidRPr="00A80EDE">
        <w:t>ADR</w:t>
      </w:r>
      <w:r w:rsidRPr="00A80EDE">
        <w:t xml:space="preserve">s as regional structures, but their status as private-law organisations in the public interest did not fully meet the requirements of legitimacy and accountability laid down by European regulations. For this reason, legislative changes were needed to give </w:t>
      </w:r>
      <w:r w:rsidR="00265A17" w:rsidRPr="00A80EDE">
        <w:t>ADR</w:t>
      </w:r>
      <w:r w:rsidRPr="00A80EDE">
        <w:t xml:space="preserve">s the role of Managing Authorities, with all the related liability, control and audit implications. The limitations of the ADR on the role of </w:t>
      </w:r>
      <w:r w:rsidR="0064166B" w:rsidRPr="00A80EDE">
        <w:t>authorizing</w:t>
      </w:r>
      <w:r w:rsidRPr="00A80EDE">
        <w:t xml:space="preserve"> officer have been compensated for by the designation of the ACP as the body for the accounting function.</w:t>
      </w:r>
    </w:p>
    <w:p w14:paraId="328B8253" w14:textId="13E9B1E3" w:rsidR="00A420EC" w:rsidRPr="00A80EDE" w:rsidRDefault="0091600E" w:rsidP="00A80EDE">
      <w:pPr>
        <w:pStyle w:val="Style2"/>
        <w:numPr>
          <w:ilvl w:val="0"/>
          <w:numId w:val="33"/>
        </w:numPr>
        <w:suppressAutoHyphens/>
      </w:pPr>
      <w:r w:rsidRPr="00A80EDE">
        <w:t xml:space="preserve">The desk review highlights that the designation of regional development agencies as managing authorities initially raised a number of challenges, related to their legal status as private law organisations, responsibility in the management of public funds, the stability of human resources and the relationship with national control and audit institutions. In order to respond to these constraints, the regulatory framework was modified, by supplementing Law 315/2004 and adopting special regulations (e.g. GEO 122/2020), which conferred explicit MAs on </w:t>
      </w:r>
      <w:r w:rsidR="00265A17" w:rsidRPr="00A80EDE">
        <w:t>ADR</w:t>
      </w:r>
      <w:r w:rsidRPr="00A80EDE">
        <w:t>s, clarified liability mechanisms and strengthened coordination and control relations with MIPE, ANAP and the Audit Authority. Thus, the main legal and institutional difficulties have been addressed through legislative adaptations, aimed at ensuring compatibility with European requirements and the stable functioning of regional programmes.</w:t>
      </w:r>
    </w:p>
    <w:p w14:paraId="2D1386C4" w14:textId="278454CC" w:rsidR="00A420EC" w:rsidRPr="00A80EDE" w:rsidRDefault="0091600E" w:rsidP="00A80EDE">
      <w:pPr>
        <w:pStyle w:val="Style2"/>
        <w:numPr>
          <w:ilvl w:val="0"/>
          <w:numId w:val="33"/>
        </w:numPr>
        <w:suppressAutoHyphens/>
      </w:pPr>
      <w:r w:rsidRPr="00A80EDE">
        <w:rPr>
          <w:color w:val="0070C0"/>
        </w:rPr>
        <w:lastRenderedPageBreak/>
        <w:t xml:space="preserve">The analysis of the legislative changes </w:t>
      </w:r>
      <w:r w:rsidRPr="00A80EDE">
        <w:t xml:space="preserve">highlighted the fact that at national level, the current regulatory framework has contributed decisively to strengthening the administrative capacity and facilitating the implementation of the regional development policy. The decentralization reform, initiated by GEO no. 122/2020 and consolidated by GEO no. 88/2022, transformed the regional development agencies from </w:t>
      </w:r>
      <w:r w:rsidRPr="00A80EDE">
        <w:rPr>
          <w:b/>
        </w:rPr>
        <w:t>non-governmental organizations of public interest into public authorities</w:t>
      </w:r>
      <w:r w:rsidRPr="00A80EDE">
        <w:t xml:space="preserve"> with the role of Managing Authorities (</w:t>
      </w:r>
      <w:r w:rsidR="00265A17" w:rsidRPr="00A80EDE">
        <w:t>AM</w:t>
      </w:r>
      <w:r w:rsidRPr="00A80EDE">
        <w:t xml:space="preserve">). This step gave </w:t>
      </w:r>
      <w:r w:rsidR="00265A17" w:rsidRPr="00A80EDE">
        <w:t>ADR</w:t>
      </w:r>
      <w:r w:rsidR="0064166B" w:rsidRPr="00A80EDE">
        <w:t xml:space="preserve">s </w:t>
      </w:r>
      <w:r w:rsidR="0064166B" w:rsidRPr="00A80EDE">
        <w:rPr>
          <w:b/>
        </w:rPr>
        <w:t>clear</w:t>
      </w:r>
      <w:r w:rsidRPr="00A80EDE">
        <w:rPr>
          <w:b/>
        </w:rPr>
        <w:t xml:space="preserve"> administrative prerogatives and binding legal force, with their decisions subject to judicial review</w:t>
      </w:r>
      <w:r w:rsidRPr="00A80EDE">
        <w:t xml:space="preserve">, which brought clarity and legal certainty to the decision-making process. In parallel, the legislative changes integrated them into the national systems of financial control, prevention and sanctioning of irregularities and the granting of State aid, which allowed </w:t>
      </w:r>
      <w:r w:rsidR="00265A17" w:rsidRPr="00A80EDE">
        <w:t>ADR</w:t>
      </w:r>
      <w:r w:rsidRPr="00A80EDE">
        <w:t>s to fully manage the lifecycle of the financed projects.</w:t>
      </w:r>
    </w:p>
    <w:p w14:paraId="6125D429" w14:textId="4C6AEBA5" w:rsidR="00A420EC" w:rsidRPr="00A80EDE" w:rsidRDefault="0091600E" w:rsidP="00A80EDE">
      <w:pPr>
        <w:pStyle w:val="Style2"/>
        <w:numPr>
          <w:ilvl w:val="0"/>
          <w:numId w:val="33"/>
        </w:numPr>
        <w:suppressAutoHyphens/>
      </w:pPr>
      <w:r w:rsidRPr="00A80EDE">
        <w:t xml:space="preserve">In 2023, the Government reinforced these changes through a decision that defined the institutional framework for the coordination and management of European funds in the new programming cycle, updating the legislation to reflect the existence of regional MAs and the new programs. At the same time, the legislation promoted the modernization of work processes: the development of the MySMIS2021+ information system, the expansion of simplified cost options, the introduction of automated score-based evaluation and the digitization of flows. </w:t>
      </w:r>
    </w:p>
    <w:p w14:paraId="03490343" w14:textId="1AB5D9D9" w:rsidR="00A420EC" w:rsidRPr="00A80EDE" w:rsidRDefault="0091600E" w:rsidP="00A80EDE">
      <w:pPr>
        <w:pStyle w:val="Style2"/>
        <w:numPr>
          <w:ilvl w:val="0"/>
          <w:numId w:val="33"/>
        </w:numPr>
        <w:suppressAutoHyphens/>
      </w:pPr>
      <w:r w:rsidRPr="00A80EDE">
        <w:t xml:space="preserve">From a financial perspective, GEO no. 133/2021 and subsequent acts adapted </w:t>
      </w:r>
      <w:r w:rsidRPr="00A80EDE">
        <w:rPr>
          <w:b/>
        </w:rPr>
        <w:t xml:space="preserve">budget flows and reporting mechanisms, </w:t>
      </w:r>
      <w:r w:rsidRPr="00A80EDE">
        <w:t xml:space="preserve">providing </w:t>
      </w:r>
      <w:r w:rsidR="00265A17" w:rsidRPr="00A80EDE">
        <w:t>ADR</w:t>
      </w:r>
      <w:r w:rsidRPr="00A80EDE">
        <w:t xml:space="preserve">s with direct access to public funds for payments and to cover technical assistance expenses. Although initially there were legislative gaps and misalignments, they were remedied, allowing the system to function coherently. In </w:t>
      </w:r>
      <w:r w:rsidR="0064166B" w:rsidRPr="00A80EDE">
        <w:t>addition, the</w:t>
      </w:r>
      <w:r w:rsidRPr="00A80EDE">
        <w:t xml:space="preserve"> adoption of the </w:t>
      </w:r>
      <w:r w:rsidR="0064166B" w:rsidRPr="00A80EDE">
        <w:t xml:space="preserve">standards </w:t>
      </w:r>
      <w:r w:rsidR="0064166B" w:rsidRPr="00A80EDE">
        <w:rPr>
          <w:b/>
          <w:bCs/>
        </w:rPr>
        <w:t>applied</w:t>
      </w:r>
      <w:r w:rsidR="00965A24" w:rsidRPr="00A80EDE">
        <w:rPr>
          <w:b/>
          <w:bCs/>
        </w:rPr>
        <w:t xml:space="preserve"> by the Audit Authority </w:t>
      </w:r>
      <w:r w:rsidRPr="00A80EDE">
        <w:rPr>
          <w:b/>
        </w:rPr>
        <w:t xml:space="preserve">was ensured, </w:t>
      </w:r>
      <w:r w:rsidR="009217B3" w:rsidRPr="00A80EDE">
        <w:t>which helped to standardise practices and strengthen confidence in the fairness of the management of funds.</w:t>
      </w:r>
    </w:p>
    <w:p w14:paraId="230ED711" w14:textId="6B0E55FE" w:rsidR="00A420EC" w:rsidRPr="00A80EDE" w:rsidRDefault="0091600E" w:rsidP="00A80EDE">
      <w:pPr>
        <w:pStyle w:val="Style2"/>
        <w:numPr>
          <w:ilvl w:val="0"/>
          <w:numId w:val="33"/>
        </w:numPr>
        <w:suppressAutoHyphens/>
      </w:pPr>
      <w:r w:rsidRPr="00A80EDE">
        <w:t xml:space="preserve">For </w:t>
      </w:r>
      <w:r w:rsidR="00620B46" w:rsidRPr="00A80EDE">
        <w:t>RP for the Central Region</w:t>
      </w:r>
      <w:r w:rsidRPr="00A80EDE">
        <w:t xml:space="preserve">, these legislative changes had a direct and immediate relevance. The creation of the </w:t>
      </w:r>
      <w:r w:rsidR="00C369F9" w:rsidRPr="00A80EDE">
        <w:t xml:space="preserve">AM </w:t>
      </w:r>
      <w:r w:rsidRPr="00A80EDE">
        <w:t xml:space="preserve">within the </w:t>
      </w:r>
      <w:r w:rsidR="00F94785" w:rsidRPr="00A80EDE">
        <w:t xml:space="preserve">ADR Centre </w:t>
      </w:r>
      <w:r w:rsidRPr="00A80EDE">
        <w:t xml:space="preserve">has allowed the region to assume responsibilities in the evaluation, contracting, verification and monitoring of projects, reducing dependence on the central level and shortening the duration of processes. </w:t>
      </w:r>
    </w:p>
    <w:p w14:paraId="0B5D63B9" w14:textId="48E4FBD0" w:rsidR="00A420EC" w:rsidRPr="00A80EDE" w:rsidRDefault="0091600E" w:rsidP="00A80EDE">
      <w:pPr>
        <w:pStyle w:val="Style2"/>
        <w:numPr>
          <w:ilvl w:val="0"/>
          <w:numId w:val="33"/>
        </w:numPr>
        <w:suppressAutoHyphens/>
      </w:pPr>
      <w:r w:rsidRPr="00A80EDE">
        <w:t>The specific functions of managing authority have been operationalized, leading to the strengthening of the operational and financial capacity of AM PR Center, and the use of MySMIS2021+ has created the premises for the digitization of flows, even if interoperability and bureaucracy problems persist.</w:t>
      </w:r>
    </w:p>
    <w:p w14:paraId="18C771B2" w14:textId="2005EB09" w:rsidR="00A420EC" w:rsidRPr="00A80EDE" w:rsidRDefault="0091600E" w:rsidP="00A80EDE">
      <w:pPr>
        <w:pStyle w:val="Style2"/>
        <w:numPr>
          <w:ilvl w:val="0"/>
          <w:numId w:val="33"/>
        </w:numPr>
        <w:suppressAutoHyphens/>
      </w:pPr>
      <w:r w:rsidRPr="00A80EDE">
        <w:rPr>
          <w:color w:val="0070C0"/>
        </w:rPr>
        <w:t xml:space="preserve">The interviews with the staff of the AM PR Center </w:t>
      </w:r>
      <w:r w:rsidRPr="00A80EDE">
        <w:t xml:space="preserve">confirm the findings of the documentary analysis and provide qualitative information on the application of the procedures, the challenges encountered in the transition to the status of </w:t>
      </w:r>
      <w:r w:rsidR="00C369F9" w:rsidRPr="00A80EDE">
        <w:t xml:space="preserve">AM </w:t>
      </w:r>
      <w:r w:rsidRPr="00A80EDE">
        <w:t xml:space="preserve">and the impact on the administrative capacity. </w:t>
      </w:r>
    </w:p>
    <w:p w14:paraId="36618A10" w14:textId="1E167231" w:rsidR="00A420EC" w:rsidRPr="00A80EDE" w:rsidRDefault="0091600E" w:rsidP="00A80EDE">
      <w:pPr>
        <w:pStyle w:val="Style2"/>
        <w:numPr>
          <w:ilvl w:val="0"/>
          <w:numId w:val="33"/>
        </w:numPr>
        <w:suppressAutoHyphens/>
      </w:pPr>
      <w:r w:rsidRPr="00A80EDE">
        <w:t xml:space="preserve">Also, an </w:t>
      </w:r>
      <w:r w:rsidRPr="00A80EDE">
        <w:rPr>
          <w:color w:val="0070C0"/>
        </w:rPr>
        <w:t>opinion poll</w:t>
      </w:r>
      <w:r w:rsidRPr="00A80EDE">
        <w:t xml:space="preserve"> was conducted for the </w:t>
      </w:r>
      <w:r w:rsidR="00C369F9" w:rsidRPr="00A80EDE">
        <w:t xml:space="preserve">AM </w:t>
      </w:r>
      <w:r w:rsidRPr="00A80EDE">
        <w:t xml:space="preserve">staff, which aimed at the perception of the clarity and relevance of the current regulatory framework. Respondents consider the current regulations to be clear and relevant to a large extent (80%) or very much (20%) in terms of the </w:t>
      </w:r>
      <w:r w:rsidR="0064166B" w:rsidRPr="00A80EDE">
        <w:t>organization</w:t>
      </w:r>
      <w:r w:rsidRPr="00A80EDE">
        <w:t xml:space="preserve"> and functioning of AM in the region. </w:t>
      </w:r>
    </w:p>
    <w:p w14:paraId="56FA5DD4" w14:textId="2D23BB70" w:rsidR="00A420EC" w:rsidRPr="00A80EDE" w:rsidRDefault="00FE4849" w:rsidP="00A80EDE">
      <w:pPr>
        <w:pStyle w:val="Style2"/>
        <w:numPr>
          <w:ilvl w:val="0"/>
          <w:numId w:val="33"/>
        </w:numPr>
        <w:suppressAutoHyphens/>
      </w:pPr>
      <w:r w:rsidRPr="00A80EDE">
        <w:t xml:space="preserve">The high degree of trust in the regulations on the functioning of </w:t>
      </w:r>
      <w:r w:rsidR="00C369F9" w:rsidRPr="00A80EDE">
        <w:t xml:space="preserve">AM </w:t>
      </w:r>
      <w:r w:rsidRPr="00A80EDE">
        <w:t xml:space="preserve">at regional level reflects the robustness of the legal arrangement resulting from the 2020–2022 institutional reform. At the same time, open-ended responses provide a more nuanced picture of the limitations and challenges posed by the application of the regulatory framework in practice. The need for coherence in the application of the public procurement legislation, the need to adapt Law 315/2004 to the new responsibilities of the </w:t>
      </w:r>
      <w:r w:rsidR="00C369F9" w:rsidRPr="00A80EDE">
        <w:t xml:space="preserve">AM </w:t>
      </w:r>
      <w:r w:rsidRPr="00A80EDE">
        <w:t xml:space="preserve">and the risks associated with successive legislative changes that may create discontinuities in implementation are signaled. Also, some procedural provisions, such as the sequence of evaluation stages, are perceived as ineffective and ambiguous. </w:t>
      </w:r>
    </w:p>
    <w:p w14:paraId="5DEE7BEF" w14:textId="1FFFD801" w:rsidR="00A420EC" w:rsidRPr="00A80EDE" w:rsidRDefault="0091600E" w:rsidP="00A80EDE">
      <w:pPr>
        <w:pStyle w:val="Style2"/>
        <w:numPr>
          <w:ilvl w:val="0"/>
          <w:numId w:val="33"/>
        </w:numPr>
        <w:suppressAutoHyphens/>
      </w:pPr>
      <w:r w:rsidRPr="00A80EDE">
        <w:t xml:space="preserve">Therefore, while the legislative basis is perceived as sound and applicable, the survey indicates the need for targeted adjustments and clearer operationalisations in order to strengthen the functionality of the system and further support the performance of </w:t>
      </w:r>
      <w:r w:rsidR="00C369F9" w:rsidRPr="00A80EDE">
        <w:t xml:space="preserve">AM </w:t>
      </w:r>
      <w:r w:rsidRPr="00A80EDE">
        <w:t xml:space="preserve">in the </w:t>
      </w:r>
      <w:r w:rsidR="0064166B" w:rsidRPr="00A80EDE">
        <w:t>newly</w:t>
      </w:r>
      <w:r w:rsidRPr="00A80EDE">
        <w:t xml:space="preserve"> </w:t>
      </w:r>
      <w:r w:rsidR="00A80EDE" w:rsidRPr="00A80EDE">
        <w:t>decentralized</w:t>
      </w:r>
      <w:r w:rsidRPr="00A80EDE">
        <w:t xml:space="preserve"> context. These adjustments are essential to ensure a coherent, predictable implementation adapted to the institutional realities of the new Managing Authorities.</w:t>
      </w:r>
    </w:p>
    <w:p w14:paraId="21156B93" w14:textId="6E327146" w:rsidR="00A420EC" w:rsidRPr="00A80EDE" w:rsidRDefault="0091600E" w:rsidP="00A80EDE">
      <w:pPr>
        <w:pStyle w:val="Style2"/>
        <w:numPr>
          <w:ilvl w:val="0"/>
          <w:numId w:val="33"/>
        </w:numPr>
        <w:suppressAutoHyphens/>
      </w:pPr>
      <w:r w:rsidRPr="00A80EDE">
        <w:rPr>
          <w:color w:val="0070C0"/>
        </w:rPr>
        <w:lastRenderedPageBreak/>
        <w:t xml:space="preserve">The literature review shows </w:t>
      </w:r>
      <w:r w:rsidR="005509A4" w:rsidRPr="00A80EDE">
        <w:rPr>
          <w:rStyle w:val="Referinnotdesubsol"/>
        </w:rPr>
        <w:footnoteReference w:id="5"/>
      </w:r>
      <w:r w:rsidRPr="00A80EDE">
        <w:t xml:space="preserve">that, despite progress in strategic coherence, operational fragmentation has increased in recent years, due to the multiplication of requirements and instruments at European and national level. The constraints mentioned by the </w:t>
      </w:r>
      <w:r w:rsidR="00C369F9" w:rsidRPr="00A80EDE">
        <w:t>AM</w:t>
      </w:r>
      <w:r w:rsidRPr="00A80EDE">
        <w:t>, including the rigidity of provisions such as GEO 23/</w:t>
      </w:r>
      <w:r w:rsidR="0064166B" w:rsidRPr="00A80EDE">
        <w:t>2023,</w:t>
      </w:r>
      <w:r w:rsidRPr="00A80EDE">
        <w:t xml:space="preserve"> reflect exactly this trend documented in research on cohesion policy: excessive standardization of rules reduces the flexibility needed to adapt to the regional context. The findings of the evaluation accurately illustrate this dynamic.</w:t>
      </w:r>
    </w:p>
    <w:p w14:paraId="4DCCA185" w14:textId="11417F44" w:rsidR="00A420EC" w:rsidRPr="00A80EDE" w:rsidRDefault="0091600E" w:rsidP="00A80EDE">
      <w:pPr>
        <w:pStyle w:val="Titlu4"/>
        <w:suppressAutoHyphens/>
      </w:pPr>
      <w:r w:rsidRPr="00A80EDE">
        <w:t>3.2. Prospects for the implementation system in the period 2028-2034</w:t>
      </w:r>
    </w:p>
    <w:p w14:paraId="3E5D5138" w14:textId="34F7E2F2" w:rsidR="00A420EC" w:rsidRPr="00A80EDE" w:rsidRDefault="0091600E" w:rsidP="00A80EDE">
      <w:pPr>
        <w:pStyle w:val="Style2"/>
        <w:numPr>
          <w:ilvl w:val="0"/>
          <w:numId w:val="33"/>
        </w:numPr>
        <w:suppressAutoHyphens/>
        <w:rPr>
          <w:i/>
          <w:iCs/>
        </w:rPr>
      </w:pPr>
      <w:r w:rsidRPr="00A80EDE">
        <w:t xml:space="preserve">In July 2025, the European Commission published proposals for the reform of the framework for the implementation of cohesion policy in the period 2028–2034, which are currently under negotiation. Their presentation in the interim report has the role of anticipating the major changes that will influence the functioning of the system and highlighting the useful lessons for strengthening the current institutional framework of the PR Center. These findings are based on </w:t>
      </w:r>
      <w:r w:rsidRPr="00A80EDE">
        <w:rPr>
          <w:color w:val="0070C0"/>
        </w:rPr>
        <w:t>literature review</w:t>
      </w:r>
      <w:r w:rsidRPr="00A80EDE">
        <w:t xml:space="preserve">. </w:t>
      </w:r>
      <w:r w:rsidRPr="00A80EDE">
        <w:rPr>
          <w:i/>
          <w:iCs/>
        </w:rPr>
        <w:t xml:space="preserve">A summary of these issues is presented in more detail in Annex 1.3. </w:t>
      </w:r>
    </w:p>
    <w:p w14:paraId="10354DF8" w14:textId="6BBA47B2" w:rsidR="000D3FEB" w:rsidRPr="00A80EDE" w:rsidRDefault="000D3FEB" w:rsidP="00A80EDE">
      <w:pPr>
        <w:pStyle w:val="Style2"/>
        <w:numPr>
          <w:ilvl w:val="0"/>
          <w:numId w:val="33"/>
        </w:numPr>
        <w:suppressAutoHyphens/>
      </w:pPr>
      <w:r w:rsidRPr="00A80EDE">
        <w:t xml:space="preserve">The preparation for the period 2028-2034 imposes fundamental </w:t>
      </w:r>
      <w:r w:rsidRPr="00A80EDE">
        <w:rPr>
          <w:b/>
          <w:bCs/>
        </w:rPr>
        <w:t>transformations on the implementation system</w:t>
      </w:r>
      <w:r w:rsidRPr="00A80EDE">
        <w:t>, focused on "</w:t>
      </w:r>
      <w:r w:rsidR="00B45703" w:rsidRPr="00A80EDE">
        <w:rPr>
          <w:b/>
          <w:bCs/>
        </w:rPr>
        <w:t>how to finance</w:t>
      </w:r>
      <w:r w:rsidR="00B45703" w:rsidRPr="00A80EDE">
        <w:t xml:space="preserve">" and not on "what to finance". Therefore, </w:t>
      </w:r>
      <w:r w:rsidR="0064166B" w:rsidRPr="00A80EDE">
        <w:t>future</w:t>
      </w:r>
      <w:r w:rsidR="00B45703" w:rsidRPr="00A80EDE">
        <w:t xml:space="preserve"> architecture must move from simple territorial targeting through norms to </w:t>
      </w:r>
      <w:r w:rsidRPr="00A80EDE">
        <w:rPr>
          <w:b/>
          <w:bCs/>
        </w:rPr>
        <w:t>territorial integration through implementation mechanisms</w:t>
      </w:r>
      <w:r w:rsidR="00B304FD" w:rsidRPr="00A80EDE">
        <w:t>.</w:t>
      </w:r>
    </w:p>
    <w:p w14:paraId="1D01AC62" w14:textId="27ED6CD6" w:rsidR="00A420EC" w:rsidRPr="00A80EDE" w:rsidRDefault="0091600E" w:rsidP="00A80EDE">
      <w:pPr>
        <w:pStyle w:val="Style2"/>
        <w:numPr>
          <w:ilvl w:val="0"/>
          <w:numId w:val="33"/>
        </w:numPr>
        <w:suppressAutoHyphens/>
      </w:pPr>
      <w:r w:rsidRPr="00A80EDE">
        <w:t xml:space="preserve">These proposed changes reflect a shift from a governance focused on procedural compliance to one oriented towards performance and results. For </w:t>
      </w:r>
      <w:r w:rsidR="00620B46" w:rsidRPr="00A80EDE">
        <w:t>RP for the Central Region</w:t>
      </w:r>
      <w:r w:rsidRPr="00A80EDE">
        <w:t>, the main lesson is the need to continue simplifying and digitizing processes, strengthening AM capacity and adapting results-oriented monitoring and evaluation mechanisms, in order to be ready for the new post-2027 framework.</w:t>
      </w:r>
    </w:p>
    <w:p w14:paraId="643EF9AD" w14:textId="5202E163" w:rsidR="00A420EC" w:rsidRPr="00A80EDE" w:rsidRDefault="0091600E" w:rsidP="00A80EDE">
      <w:pPr>
        <w:pStyle w:val="Style2"/>
        <w:numPr>
          <w:ilvl w:val="0"/>
          <w:numId w:val="33"/>
        </w:numPr>
        <w:suppressAutoHyphens/>
      </w:pPr>
      <w:r w:rsidRPr="00A80EDE">
        <w:t xml:space="preserve">From the perspective of the implementation system of PR Center 2021–2027, we introduce the concept of </w:t>
      </w:r>
      <w:r w:rsidRPr="00A80EDE">
        <w:rPr>
          <w:rFonts w:eastAsia="MS Gothic"/>
          <w:b/>
        </w:rPr>
        <w:t>emerging sustainability</w:t>
      </w:r>
      <w:r w:rsidRPr="00A80EDE">
        <w:rPr>
          <w:rStyle w:val="Referinnotdesubsol"/>
        </w:rPr>
        <w:footnoteReference w:id="6"/>
      </w:r>
      <w:r w:rsidRPr="00A80EDE">
        <w:t xml:space="preserve">, by which we understand not only the ability of the current implementation system to function stably in the current period, but also its ability to </w:t>
      </w:r>
      <w:r w:rsidRPr="00A80EDE">
        <w:rPr>
          <w:rFonts w:eastAsia="Arial"/>
        </w:rPr>
        <w:t>continuously self-develop and adapt to new requirements and challenges</w:t>
      </w:r>
      <w:r w:rsidRPr="00A80EDE">
        <w:t>, so that it becomes a solid basis for the post-2027 institutional architecture.</w:t>
      </w:r>
    </w:p>
    <w:p w14:paraId="5EFD4606" w14:textId="7D2EE6D2" w:rsidR="00A420EC" w:rsidRPr="00A80EDE" w:rsidRDefault="0091600E" w:rsidP="00A80EDE">
      <w:pPr>
        <w:pStyle w:val="Style2"/>
        <w:numPr>
          <w:ilvl w:val="0"/>
          <w:numId w:val="33"/>
        </w:numPr>
        <w:suppressAutoHyphens/>
      </w:pPr>
      <w:r w:rsidRPr="00A80EDE">
        <w:t xml:space="preserve">This requires a </w:t>
      </w:r>
      <w:r w:rsidRPr="00A80EDE">
        <w:rPr>
          <w:b/>
        </w:rPr>
        <w:t>dynamic process of institutional learning</w:t>
      </w:r>
      <w:r w:rsidRPr="00A80EDE">
        <w:t xml:space="preserve">, procedural innovation and anticipated preparation for change, strengthening the resilience of the system, building current capacities to ensure a rapid and effective transition to post-2027 support, regardless of the institutional architecture that will be negotiated. </w:t>
      </w:r>
    </w:p>
    <w:p w14:paraId="35744EC3" w14:textId="2F64785E" w:rsidR="00A420EC" w:rsidRPr="00A80EDE" w:rsidRDefault="0091600E" w:rsidP="00A80EDE">
      <w:pPr>
        <w:pStyle w:val="Style2"/>
        <w:numPr>
          <w:ilvl w:val="0"/>
          <w:numId w:val="33"/>
        </w:numPr>
        <w:suppressAutoHyphens/>
      </w:pPr>
      <w:r w:rsidRPr="00A80EDE">
        <w:t xml:space="preserve">In order to prepare the current system of the PR Center for the post-2027 period, even before the completion of the European negotiations, </w:t>
      </w:r>
      <w:r w:rsidRPr="00A80EDE">
        <w:rPr>
          <w:b/>
        </w:rPr>
        <w:t>pilot exercises and training sessions</w:t>
      </w:r>
      <w:r w:rsidRPr="00A80EDE">
        <w:rPr>
          <w:rFonts w:eastAsia="Arial"/>
          <w:b/>
        </w:rPr>
        <w:t xml:space="preserve"> on the proposed new </w:t>
      </w:r>
      <w:r w:rsidR="0064166B" w:rsidRPr="00A80EDE">
        <w:rPr>
          <w:rFonts w:eastAsia="Arial"/>
          <w:b/>
        </w:rPr>
        <w:t>approaches</w:t>
      </w:r>
      <w:r w:rsidR="0064166B" w:rsidRPr="00A80EDE">
        <w:rPr>
          <w:b/>
        </w:rPr>
        <w:t xml:space="preserve"> </w:t>
      </w:r>
      <w:r w:rsidR="0064166B" w:rsidRPr="00A80EDE">
        <w:t>(</w:t>
      </w:r>
      <w:r w:rsidRPr="00A80EDE">
        <w:t xml:space="preserve">monitoring on milestones and results, risk-proportional checks, digitized reporting) can be started. In this way, the </w:t>
      </w:r>
      <w:r w:rsidR="00C369F9" w:rsidRPr="00A80EDE">
        <w:t xml:space="preserve">AM </w:t>
      </w:r>
      <w:r w:rsidRPr="00A80EDE">
        <w:t>and partners would acquire the necessary skills early and identify practical challenges, strengthening the resilience and adaptability of the system regardless of the future institutional architecture. The critical topics that can be the subject of "practical training" are:</w:t>
      </w:r>
    </w:p>
    <w:p w14:paraId="49FE6EF9" w14:textId="3C6A72C9" w:rsidR="00A420EC" w:rsidRPr="00A80EDE" w:rsidRDefault="0091600E" w:rsidP="00A80EDE">
      <w:pPr>
        <w:pStyle w:val="Style2"/>
        <w:numPr>
          <w:ilvl w:val="0"/>
          <w:numId w:val="33"/>
        </w:numPr>
        <w:suppressAutoHyphens/>
      </w:pPr>
      <w:r w:rsidRPr="00A80EDE">
        <w:rPr>
          <w:b/>
          <w:bCs/>
        </w:rPr>
        <w:t>Performance orientation and indicators</w:t>
      </w:r>
      <w:r w:rsidR="00487B23" w:rsidRPr="00A80EDE">
        <w:rPr>
          <w:rFonts w:eastAsia="Arial"/>
        </w:rPr>
        <w:t xml:space="preserve"> – including </w:t>
      </w:r>
      <w:r w:rsidRPr="00A80EDE">
        <w:t xml:space="preserve">mapping current indicators to the future simplified set of European indicators and by defining milestones (contracting, implementation, outputs and results) at an early stage. This process would strengthen the capacity of the </w:t>
      </w:r>
      <w:r w:rsidR="00C369F9" w:rsidRPr="00A80EDE">
        <w:t xml:space="preserve">AM </w:t>
      </w:r>
      <w:r w:rsidRPr="00A80EDE">
        <w:t>to manage programmes based on results and to integrate performance incentive mechanisms.</w:t>
      </w:r>
    </w:p>
    <w:p w14:paraId="40F42205" w14:textId="0F6B8503" w:rsidR="00A420EC" w:rsidRPr="00A80EDE" w:rsidRDefault="0091600E" w:rsidP="00A80EDE">
      <w:pPr>
        <w:pStyle w:val="Style2"/>
        <w:numPr>
          <w:ilvl w:val="0"/>
          <w:numId w:val="33"/>
        </w:numPr>
        <w:suppressAutoHyphens/>
      </w:pPr>
      <w:r w:rsidRPr="00A80EDE">
        <w:rPr>
          <w:rFonts w:eastAsia="Arial"/>
          <w:b/>
        </w:rPr>
        <w:t xml:space="preserve">Data, digitalization and traceability </w:t>
      </w:r>
      <w:r w:rsidRPr="00A80EDE">
        <w:rPr>
          <w:rFonts w:eastAsia="Arial"/>
        </w:rPr>
        <w:t xml:space="preserve">– </w:t>
      </w:r>
      <w:r w:rsidRPr="00A80EDE">
        <w:t xml:space="preserve">including data quality assurance, compatibilities with other systems, strengthening IT interoperability through automated interfaces between MySMIS and </w:t>
      </w:r>
      <w:r w:rsidRPr="00A80EDE">
        <w:lastRenderedPageBreak/>
        <w:t xml:space="preserve">other administrative systems, allowing rapid reporting and source verification of indicators. Without being directly related to the new regulations, but very relevant to the context, </w:t>
      </w:r>
      <w:r w:rsidRPr="00A80EDE">
        <w:rPr>
          <w:b/>
        </w:rPr>
        <w:t>the institutional integration of artificial intelligence systems</w:t>
      </w:r>
      <w:r w:rsidRPr="00A80EDE">
        <w:t xml:space="preserve"> becomes a critical necessity, taking into account the necessary security measures.</w:t>
      </w:r>
    </w:p>
    <w:p w14:paraId="70C9F24E" w14:textId="5AC24B2E" w:rsidR="00A420EC" w:rsidRPr="00A80EDE" w:rsidRDefault="0091600E" w:rsidP="00A80EDE">
      <w:pPr>
        <w:pStyle w:val="Style2"/>
        <w:numPr>
          <w:ilvl w:val="0"/>
          <w:numId w:val="33"/>
        </w:numPr>
        <w:suppressAutoHyphens/>
      </w:pPr>
      <w:r w:rsidRPr="00A80EDE">
        <w:t xml:space="preserve">The analysis of the requirements of the new regulations for future implementation systems suggests focusing the attention of the </w:t>
      </w:r>
      <w:r w:rsidR="00C369F9" w:rsidRPr="00A80EDE">
        <w:t xml:space="preserve">AM </w:t>
      </w:r>
      <w:r w:rsidRPr="00A80EDE">
        <w:t xml:space="preserve">on the following aspects: </w:t>
      </w:r>
    </w:p>
    <w:p w14:paraId="0E618809" w14:textId="77777777" w:rsidR="00A420EC" w:rsidRPr="00A80EDE" w:rsidRDefault="0091600E" w:rsidP="00A80EDE">
      <w:pPr>
        <w:pStyle w:val="Normalbullet"/>
        <w:suppressAutoHyphens/>
      </w:pPr>
      <w:r w:rsidRPr="00A80EDE">
        <w:rPr>
          <w:b/>
          <w:bCs/>
        </w:rPr>
        <w:t>Integrating good governance principles</w:t>
      </w:r>
      <w:r w:rsidRPr="00A80EDE">
        <w:rPr>
          <w:rFonts w:eastAsia="Arial"/>
        </w:rPr>
        <w:t>, avoiding overlaps and increasing system coherence.</w:t>
      </w:r>
    </w:p>
    <w:p w14:paraId="4EAC71BF" w14:textId="451639F8" w:rsidR="00A420EC" w:rsidRPr="00A80EDE" w:rsidRDefault="0091600E" w:rsidP="00A80EDE">
      <w:pPr>
        <w:pStyle w:val="Normalbullet"/>
        <w:suppressAutoHyphens/>
      </w:pPr>
      <w:r w:rsidRPr="00A80EDE">
        <w:rPr>
          <w:rFonts w:eastAsia="Arial"/>
          <w:b/>
          <w:bCs/>
        </w:rPr>
        <w:t xml:space="preserve">Audit and risk-proportional </w:t>
      </w:r>
      <w:r w:rsidR="0064166B" w:rsidRPr="00A80EDE">
        <w:rPr>
          <w:rFonts w:eastAsia="Arial"/>
          <w:b/>
          <w:bCs/>
        </w:rPr>
        <w:t>control</w:t>
      </w:r>
      <w:r w:rsidR="0064166B" w:rsidRPr="00A80EDE">
        <w:rPr>
          <w:rFonts w:eastAsia="Arial"/>
        </w:rPr>
        <w:t>,</w:t>
      </w:r>
      <w:r w:rsidRPr="00A80EDE">
        <w:rPr>
          <w:rFonts w:eastAsia="Arial"/>
        </w:rPr>
        <w:t xml:space="preserve"> including recalibration of verification procedures towards a risk-based approach, with a focus on ex-post verifications and auditing of results and impact. This would reduce the administrative burden and increase the added value of controls, while supporting the compliance and credibility of the system.</w:t>
      </w:r>
    </w:p>
    <w:p w14:paraId="48949A3B" w14:textId="77777777" w:rsidR="00A420EC" w:rsidRPr="00A80EDE" w:rsidRDefault="0091600E" w:rsidP="00A80EDE">
      <w:pPr>
        <w:pStyle w:val="Normalbullet"/>
        <w:suppressAutoHyphens/>
      </w:pPr>
      <w:r w:rsidRPr="00A80EDE">
        <w:rPr>
          <w:rFonts w:eastAsia="Arial"/>
          <w:b/>
          <w:bCs/>
        </w:rPr>
        <w:t>Project portfolio and flexibility</w:t>
      </w:r>
      <w:r w:rsidRPr="00A80EDE">
        <w:rPr>
          <w:rFonts w:eastAsia="Arial"/>
        </w:rPr>
        <w:t>, including the creation of internal mechanisms for prioritization and rapid re-allocation of funds, to respond to situations of under-execution or urgent needs. Establish clear procedures for the management of a 'crisis reserve', allowing investments to adapt quickly to changes in the context.</w:t>
      </w:r>
    </w:p>
    <w:p w14:paraId="07EDAE37" w14:textId="54483429" w:rsidR="00A420EC" w:rsidRPr="00A80EDE" w:rsidRDefault="0091600E" w:rsidP="00A80EDE">
      <w:pPr>
        <w:pStyle w:val="Normalbullet"/>
        <w:suppressAutoHyphens/>
      </w:pPr>
      <w:r w:rsidRPr="00A80EDE">
        <w:rPr>
          <w:rFonts w:eastAsia="Arial"/>
          <w:b/>
          <w:bCs/>
        </w:rPr>
        <w:t>Functional and user-oriented partnership</w:t>
      </w:r>
      <w:r w:rsidRPr="00A80EDE">
        <w:rPr>
          <w:rFonts w:eastAsia="Arial"/>
        </w:rPr>
        <w:t xml:space="preserve">, including improving consultation mechanisms by ensuring the traceability of proposals made by partners and by </w:t>
      </w:r>
      <w:r w:rsidR="0064166B" w:rsidRPr="00A80EDE">
        <w:rPr>
          <w:rFonts w:eastAsia="Arial"/>
        </w:rPr>
        <w:t>organizing</w:t>
      </w:r>
      <w:r w:rsidRPr="00A80EDE">
        <w:rPr>
          <w:rFonts w:eastAsia="Arial"/>
        </w:rPr>
        <w:t xml:space="preserve"> recurrent thematic consultations, with a focus on real usefulness for beneficiaries and regional actors. This approach would turn the partnership process into an active tool for improving implementation.</w:t>
      </w:r>
    </w:p>
    <w:p w14:paraId="3A479667" w14:textId="7A3D1FB4" w:rsidR="00CC0934" w:rsidRPr="00A80EDE" w:rsidRDefault="0091600E" w:rsidP="00A80EDE">
      <w:pPr>
        <w:pStyle w:val="Normalbullet"/>
        <w:suppressAutoHyphens/>
      </w:pPr>
      <w:r w:rsidRPr="00A80EDE">
        <w:rPr>
          <w:rFonts w:eastAsia="Arial"/>
          <w:b/>
          <w:bCs/>
        </w:rPr>
        <w:t>Administrative capacity and human resources</w:t>
      </w:r>
      <w:r w:rsidRPr="00A80EDE">
        <w:t xml:space="preserve"> - Investments in staff training and reskilling to meet new requirements for results-based management, data analysis and impact </w:t>
      </w:r>
      <w:r w:rsidR="00620B46" w:rsidRPr="00A80EDE">
        <w:t>evaluation</w:t>
      </w:r>
      <w:r w:rsidRPr="00A80EDE">
        <w:t xml:space="preserve">. In parallel, the development of specialist retention schemes and the creation of a regional network of shared experts would strengthen the resilience and </w:t>
      </w:r>
      <w:r w:rsidR="0064166B" w:rsidRPr="00A80EDE">
        <w:t>professionalization</w:t>
      </w:r>
      <w:r w:rsidRPr="00A80EDE">
        <w:t xml:space="preserve"> of </w:t>
      </w:r>
      <w:r w:rsidR="00265A17" w:rsidRPr="00A80EDE">
        <w:t>AM.</w:t>
      </w:r>
    </w:p>
    <w:p w14:paraId="1456D0E0" w14:textId="6ACB0C75" w:rsidR="00A420EC" w:rsidRPr="00A80EDE" w:rsidRDefault="0091600E" w:rsidP="00A80EDE">
      <w:pPr>
        <w:pStyle w:val="Titlu2"/>
        <w:suppressAutoHyphens/>
        <w:rPr>
          <w:rFonts w:hint="eastAsia"/>
        </w:rPr>
      </w:pPr>
      <w:bookmarkStart w:id="23" w:name="_Toc207608290"/>
      <w:bookmarkStart w:id="24" w:name="_Toc216119114"/>
      <w:r w:rsidRPr="00A80EDE">
        <w:t xml:space="preserve">IE4. How adequate is the availability of administrative resources (human, financial, logistical and material) for the efficient support of the implementation of the PR Center at the level of the </w:t>
      </w:r>
      <w:r w:rsidR="00C369F9" w:rsidRPr="00A80EDE">
        <w:t xml:space="preserve">AM </w:t>
      </w:r>
      <w:r w:rsidRPr="00A80EDE">
        <w:t>and the beneficiaries?</w:t>
      </w:r>
      <w:bookmarkEnd w:id="23"/>
      <w:bookmarkEnd w:id="24"/>
    </w:p>
    <w:p w14:paraId="6197D992" w14:textId="77777777" w:rsidR="00A420EC" w:rsidRPr="00A80EDE" w:rsidRDefault="0091600E" w:rsidP="00A80EDE">
      <w:pPr>
        <w:pStyle w:val="Titlu4"/>
        <w:suppressAutoHyphens/>
        <w:rPr>
          <w:rFonts w:eastAsia="Arial"/>
        </w:rPr>
      </w:pPr>
      <w:r w:rsidRPr="00A80EDE">
        <w:rPr>
          <w:rFonts w:eastAsia="Arial"/>
        </w:rPr>
        <w:t>Summary of findings</w:t>
      </w:r>
    </w:p>
    <w:p w14:paraId="2DF85F07" w14:textId="146065F3" w:rsidR="008321AF" w:rsidRPr="00A80EDE" w:rsidRDefault="0091600E" w:rsidP="00A80EDE">
      <w:pPr>
        <w:pStyle w:val="Style2"/>
        <w:numPr>
          <w:ilvl w:val="0"/>
          <w:numId w:val="33"/>
        </w:numPr>
        <w:suppressAutoHyphens/>
      </w:pPr>
      <w:r w:rsidRPr="00A80EDE">
        <w:t xml:space="preserve">The available administrative resources are generally adequate for the current functioning of the PR Center, with well-structured, logistical and financial resources in place. However, staff anticipate increasing pressure as implementation progresses and the project portfolio expands, especially in operational directions. </w:t>
      </w:r>
    </w:p>
    <w:p w14:paraId="2C625441" w14:textId="14D44BD4" w:rsidR="008321AF" w:rsidRPr="00A80EDE" w:rsidRDefault="008321AF" w:rsidP="00A80EDE">
      <w:pPr>
        <w:pStyle w:val="Style2"/>
        <w:numPr>
          <w:ilvl w:val="0"/>
          <w:numId w:val="33"/>
        </w:numPr>
        <w:suppressAutoHyphens/>
      </w:pPr>
      <w:r w:rsidRPr="00A80EDE">
        <w:t xml:space="preserve">Both interviews and surveys indicate the existence of a high level of load, especially felt in the contracting, financial verification and monitoring departments, where the high volume of clarifications and the complexity of the documentation increase the pressure on the staff. Management appreciates logistical and financial facilities as </w:t>
      </w:r>
      <w:r w:rsidR="0064166B" w:rsidRPr="00A80EDE">
        <w:t>adequate but</w:t>
      </w:r>
      <w:r w:rsidRPr="00A80EDE">
        <w:t xml:space="preserve"> identifies limits in terms of human resources and management, planning and collaboration tools.</w:t>
      </w:r>
    </w:p>
    <w:p w14:paraId="53470ABE" w14:textId="2158A09A" w:rsidR="008321AF" w:rsidRPr="00A80EDE" w:rsidRDefault="008321AF" w:rsidP="00A80EDE">
      <w:pPr>
        <w:pStyle w:val="Style2"/>
        <w:numPr>
          <w:ilvl w:val="0"/>
          <w:numId w:val="33"/>
        </w:numPr>
        <w:suppressAutoHyphens/>
      </w:pPr>
      <w:r w:rsidRPr="00A80EDE">
        <w:t xml:space="preserve">The training needs are well reflected in the training plan, which includes more than 20 sessions covering both classical and emerging fields. The interviews underline the need for practical training, based on collaboration and exchange of experience, considered more effective than </w:t>
      </w:r>
      <w:r w:rsidR="0064166B" w:rsidRPr="00A80EDE">
        <w:t>strict</w:t>
      </w:r>
      <w:r w:rsidRPr="00A80EDE">
        <w:t xml:space="preserve"> theoretical training. The surveys confirm a high degree of professional competence and a good level of satisfaction among employees, mainly motivated by learning opportunities, contribution to the development of the region and job stability.</w:t>
      </w:r>
    </w:p>
    <w:p w14:paraId="6773FFA6" w14:textId="203072CF" w:rsidR="008321AF" w:rsidRPr="00A80EDE" w:rsidRDefault="008321AF" w:rsidP="00A80EDE">
      <w:pPr>
        <w:pStyle w:val="Style2"/>
        <w:numPr>
          <w:ilvl w:val="0"/>
          <w:numId w:val="33"/>
        </w:numPr>
        <w:suppressAutoHyphens/>
      </w:pPr>
      <w:r w:rsidRPr="00A80EDE">
        <w:t xml:space="preserve">Overall, the financial resources and budgetary mechanisms are appreciated as adequate for the current functioning of the </w:t>
      </w:r>
      <w:r w:rsidR="00C369F9" w:rsidRPr="00A80EDE">
        <w:t>AM</w:t>
      </w:r>
      <w:r w:rsidRPr="00A80EDE">
        <w:t>, and the contribution of the PR Centre supports the efficiency of the system. However, increasing operational pressures and the need to build human capacity suggest the need for continuous adaptation to maintain high performance as the programme evolves.</w:t>
      </w:r>
    </w:p>
    <w:p w14:paraId="72F39555" w14:textId="21A9E2D4" w:rsidR="00545295" w:rsidRPr="00A80EDE" w:rsidRDefault="00545295" w:rsidP="00A80EDE">
      <w:pPr>
        <w:pStyle w:val="Style2"/>
        <w:numPr>
          <w:ilvl w:val="0"/>
          <w:numId w:val="33"/>
        </w:numPr>
        <w:suppressAutoHyphens/>
      </w:pPr>
      <w:r w:rsidRPr="00A80EDE">
        <w:lastRenderedPageBreak/>
        <w:t>At the level of beneficiaries, there is limited administrative capacity, especially in the case of municipalities and small and medium-sized towns, both in terms of accessing financing and implementing projects, as well as strategic planning. This situation represents a major constraint for the adoption of new approaches to the implementation system, such as results-oriented, development of integrated projects or financing based on project portfolios.</w:t>
      </w:r>
    </w:p>
    <w:p w14:paraId="27F53B58" w14:textId="7AA025EB" w:rsidR="00A420EC" w:rsidRPr="00A80EDE" w:rsidRDefault="0041407C" w:rsidP="00A80EDE">
      <w:pPr>
        <w:pStyle w:val="Style2"/>
        <w:numPr>
          <w:ilvl w:val="0"/>
          <w:numId w:val="33"/>
        </w:numPr>
        <w:suppressAutoHyphens/>
      </w:pPr>
      <w:r w:rsidRPr="00A80EDE">
        <w:t xml:space="preserve">The MySMIS 2021–2027 platform has been developed with new functions, brought transparency and procedural efficiency. On the other hand, its limitations, such as the lack of interoperability, the obligation to upload documents repeatedly, the unintuitive interface and the reduced analysis functionalities, affect both the activity of the </w:t>
      </w:r>
      <w:r w:rsidR="00C369F9" w:rsidRPr="00A80EDE">
        <w:t xml:space="preserve">AM </w:t>
      </w:r>
      <w:r w:rsidRPr="00A80EDE">
        <w:t xml:space="preserve">and the experience of the beneficiaries, maintaining a high administrative burden. </w:t>
      </w:r>
    </w:p>
    <w:p w14:paraId="5B9A660C" w14:textId="77777777" w:rsidR="00261FF7" w:rsidRPr="00A80EDE" w:rsidRDefault="00261FF7" w:rsidP="00A80EDE">
      <w:pPr>
        <w:pStyle w:val="Numparagraphnormal"/>
        <w:suppressAutoHyphens/>
        <w:ind w:left="504"/>
      </w:pPr>
    </w:p>
    <w:p w14:paraId="24E45547" w14:textId="77777777" w:rsidR="00A420EC" w:rsidRPr="00A80EDE" w:rsidRDefault="0091600E" w:rsidP="00A80EDE">
      <w:pPr>
        <w:pStyle w:val="Titlu4"/>
        <w:suppressAutoHyphens/>
        <w:rPr>
          <w:rFonts w:eastAsia="MS Mincho"/>
          <w:lang w:eastAsia="ro-RO" w:bidi="ne-NP"/>
        </w:rPr>
      </w:pPr>
      <w:r w:rsidRPr="00A80EDE">
        <w:rPr>
          <w:rFonts w:eastAsia="MS Mincho"/>
          <w:lang w:eastAsia="ro-RO" w:bidi="ne-NP"/>
        </w:rPr>
        <w:t>4.1. Organisational efficiency, availability of resources, management systems</w:t>
      </w:r>
    </w:p>
    <w:p w14:paraId="66A84501" w14:textId="213A547A" w:rsidR="00A420EC" w:rsidRPr="00A80EDE" w:rsidRDefault="0091600E" w:rsidP="00A80EDE">
      <w:pPr>
        <w:pStyle w:val="Style2"/>
        <w:numPr>
          <w:ilvl w:val="0"/>
          <w:numId w:val="33"/>
        </w:numPr>
        <w:suppressAutoHyphens/>
      </w:pPr>
      <w:r w:rsidRPr="00A80EDE">
        <w:rPr>
          <w:lang w:eastAsia="ro-RO" w:bidi="ne-NP"/>
        </w:rPr>
        <w:t>In the case</w:t>
      </w:r>
      <w:r w:rsidRPr="00A80EDE">
        <w:rPr>
          <w:rFonts w:eastAsia="Arial"/>
        </w:rPr>
        <w:t xml:space="preserve"> </w:t>
      </w:r>
      <w:r w:rsidR="0064166B" w:rsidRPr="00A80EDE">
        <w:rPr>
          <w:rFonts w:eastAsia="Arial"/>
        </w:rPr>
        <w:t xml:space="preserve">of </w:t>
      </w:r>
      <w:r w:rsidR="00F94785" w:rsidRPr="00A80EDE">
        <w:rPr>
          <w:rFonts w:eastAsia="Arial"/>
        </w:rPr>
        <w:t xml:space="preserve">ADR Centre </w:t>
      </w:r>
      <w:r w:rsidRPr="00A80EDE">
        <w:rPr>
          <w:lang w:eastAsia="ro-RO" w:bidi="ne-NP"/>
        </w:rPr>
        <w:t xml:space="preserve">as </w:t>
      </w:r>
      <w:r w:rsidR="00F94785" w:rsidRPr="00A80EDE">
        <w:rPr>
          <w:lang w:eastAsia="ro-RO" w:bidi="ne-NP"/>
        </w:rPr>
        <w:t>AM</w:t>
      </w:r>
      <w:r w:rsidRPr="00A80EDE">
        <w:rPr>
          <w:lang w:eastAsia="ro-RO" w:bidi="ne-NP"/>
        </w:rPr>
        <w:t xml:space="preserve">, </w:t>
      </w:r>
      <w:r w:rsidR="0064166B" w:rsidRPr="00A80EDE">
        <w:rPr>
          <w:lang w:eastAsia="ro-RO" w:bidi="ne-NP"/>
        </w:rPr>
        <w:t>the first</w:t>
      </w:r>
      <w:r w:rsidRPr="00A80EDE">
        <w:rPr>
          <w:lang w:eastAsia="ro-RO" w:bidi="ne-NP"/>
        </w:rPr>
        <w:t xml:space="preserve"> aspect analysed is </w:t>
      </w:r>
      <w:r w:rsidRPr="00A80EDE">
        <w:rPr>
          <w:rFonts w:eastAsia="Arial"/>
        </w:rPr>
        <w:t>the available human resources</w:t>
      </w:r>
      <w:r w:rsidRPr="00A80EDE">
        <w:rPr>
          <w:lang w:eastAsia="ro-RO" w:bidi="ne-NP"/>
        </w:rPr>
        <w:t xml:space="preserve">. </w:t>
      </w:r>
      <w:r w:rsidRPr="00A80EDE">
        <w:rPr>
          <w:color w:val="0070C0"/>
          <w:lang w:eastAsia="ro-RO" w:bidi="ne-NP"/>
        </w:rPr>
        <w:t xml:space="preserve">The analysis of internal documents </w:t>
      </w:r>
      <w:r w:rsidRPr="00A80EDE">
        <w:rPr>
          <w:lang w:eastAsia="ro-RO" w:bidi="ne-NP"/>
        </w:rPr>
        <w:t xml:space="preserve">highlights the existence of a formalized performance management system, applied unitarily to all employees and differentiated by categories of personnel (management, execution, auxiliary). It includes methodologies, professional development plans and standardised </w:t>
      </w:r>
      <w:r w:rsidR="00620B46" w:rsidRPr="00A80EDE">
        <w:rPr>
          <w:lang w:eastAsia="ro-RO" w:bidi="ne-NP"/>
        </w:rPr>
        <w:t>evaluation</w:t>
      </w:r>
      <w:r w:rsidRPr="00A80EDE">
        <w:rPr>
          <w:lang w:eastAsia="ro-RO" w:bidi="ne-NP"/>
        </w:rPr>
        <w:t xml:space="preserve"> and feedback tools.</w:t>
      </w:r>
    </w:p>
    <w:p w14:paraId="606C2AC0" w14:textId="7AB76AF1" w:rsidR="00A420EC" w:rsidRPr="00A80EDE" w:rsidRDefault="0091600E" w:rsidP="00A80EDE">
      <w:pPr>
        <w:pStyle w:val="Style2"/>
        <w:numPr>
          <w:ilvl w:val="0"/>
          <w:numId w:val="33"/>
        </w:numPr>
        <w:suppressAutoHyphens/>
      </w:pPr>
      <w:r w:rsidRPr="00A80EDE">
        <w:rPr>
          <w:lang w:eastAsia="ro-RO" w:bidi="ne-NP"/>
        </w:rPr>
        <w:t xml:space="preserve">Interviews </w:t>
      </w:r>
      <w:r w:rsidRPr="00A80EDE">
        <w:rPr>
          <w:color w:val="0070C0"/>
          <w:lang w:eastAsia="ro-RO" w:bidi="ne-NP"/>
        </w:rPr>
        <w:t xml:space="preserve">with the AM staff </w:t>
      </w:r>
      <w:r w:rsidRPr="00A80EDE">
        <w:rPr>
          <w:lang w:eastAsia="ro-RO" w:bidi="ne-NP"/>
        </w:rPr>
        <w:t xml:space="preserve">show that </w:t>
      </w:r>
      <w:r w:rsidRPr="00A80EDE">
        <w:rPr>
          <w:b/>
          <w:lang w:eastAsia="ro-RO" w:bidi="ne-NP"/>
        </w:rPr>
        <w:t>the available human resources</w:t>
      </w:r>
      <w:r w:rsidRPr="00A80EDE">
        <w:rPr>
          <w:lang w:eastAsia="ro-RO" w:bidi="ne-NP"/>
        </w:rPr>
        <w:t xml:space="preserve"> are, for the moment, sufficient to perform the tasks, but there is </w:t>
      </w:r>
      <w:r w:rsidR="0064166B" w:rsidRPr="00A80EDE">
        <w:rPr>
          <w:lang w:eastAsia="ro-RO" w:bidi="ne-NP"/>
        </w:rPr>
        <w:t>anticipation</w:t>
      </w:r>
      <w:r w:rsidRPr="00A80EDE">
        <w:rPr>
          <w:lang w:eastAsia="ro-RO" w:bidi="ne-NP"/>
        </w:rPr>
        <w:t xml:space="preserve"> of increasing pressure as the implementation progresses and the number of active projects increases, which will require </w:t>
      </w:r>
      <w:r w:rsidR="005E0119" w:rsidRPr="00A80EDE">
        <w:rPr>
          <w:lang w:eastAsia="ro-RO" w:bidi="ne-NP"/>
        </w:rPr>
        <w:t>additions,</w:t>
      </w:r>
      <w:r w:rsidRPr="00A80EDE">
        <w:rPr>
          <w:lang w:eastAsia="ro-RO" w:bidi="ne-NP"/>
        </w:rPr>
        <w:t xml:space="preserve"> especially in the operational departments. </w:t>
      </w:r>
    </w:p>
    <w:p w14:paraId="30B0FD77" w14:textId="00B1079F" w:rsidR="00A420EC" w:rsidRPr="00A80EDE" w:rsidRDefault="0091600E" w:rsidP="00A80EDE">
      <w:pPr>
        <w:pStyle w:val="Style2"/>
        <w:numPr>
          <w:ilvl w:val="0"/>
          <w:numId w:val="33"/>
        </w:numPr>
        <w:suppressAutoHyphens/>
      </w:pPr>
      <w:r w:rsidRPr="00A80EDE">
        <w:rPr>
          <w:lang w:eastAsia="ro-RO" w:bidi="ne-NP"/>
        </w:rPr>
        <w:t xml:space="preserve">The execution staff signaled a </w:t>
      </w:r>
      <w:r w:rsidRPr="00A80EDE">
        <w:rPr>
          <w:b/>
          <w:bCs/>
          <w:lang w:eastAsia="ro-RO" w:bidi="ne-NP"/>
        </w:rPr>
        <w:t>progressive adaptation to the new responsibilities</w:t>
      </w:r>
      <w:r w:rsidRPr="00A80EDE">
        <w:rPr>
          <w:lang w:eastAsia="ro-RO" w:bidi="ne-NP"/>
        </w:rPr>
        <w:t xml:space="preserve">, but with an increased complexity of documentation and procedures. High levels of burden are perceived, especially in departments such as contracting and financial verification, where the workload is amplified by the large number of clarifications and additional requirements introduced in the current programming period. By way of example, at territorial level, it was mentioned that a monitoring officer can reasonably manage up </w:t>
      </w:r>
      <w:r w:rsidR="0064166B" w:rsidRPr="00A80EDE">
        <w:rPr>
          <w:lang w:eastAsia="ro-RO" w:bidi="ne-NP"/>
        </w:rPr>
        <w:t>to</w:t>
      </w:r>
      <w:r w:rsidRPr="00A80EDE">
        <w:rPr>
          <w:lang w:eastAsia="ro-RO" w:bidi="ne-NP"/>
        </w:rPr>
        <w:t xml:space="preserve"> 40 projects simultaneously, exceeding this threshold being perceived as problematic for the control and quality of the activity.</w:t>
      </w:r>
    </w:p>
    <w:p w14:paraId="10F87F6C" w14:textId="77777777" w:rsidR="00A420EC" w:rsidRPr="00A80EDE" w:rsidRDefault="0091600E" w:rsidP="00A80EDE">
      <w:pPr>
        <w:pStyle w:val="Style2"/>
        <w:numPr>
          <w:ilvl w:val="0"/>
          <w:numId w:val="33"/>
        </w:numPr>
        <w:suppressAutoHyphens/>
        <w:rPr>
          <w:lang w:eastAsia="ro-RO" w:bidi="ne-NP"/>
        </w:rPr>
      </w:pPr>
      <w:r w:rsidRPr="00A80EDE">
        <w:rPr>
          <w:lang w:eastAsia="ro-RO" w:bidi="ne-NP"/>
        </w:rPr>
        <w:t>Based on the results of the survey applied to AM staff, both management and execution, a relatively convergent picture is outlined on issues related to human resources and workload.</w:t>
      </w:r>
    </w:p>
    <w:p w14:paraId="283D06C3" w14:textId="5B20EDBA" w:rsidR="00A420EC" w:rsidRPr="00A80EDE" w:rsidRDefault="0091600E" w:rsidP="00A80EDE">
      <w:pPr>
        <w:pStyle w:val="Style2"/>
        <w:numPr>
          <w:ilvl w:val="0"/>
          <w:numId w:val="33"/>
        </w:numPr>
        <w:suppressAutoHyphens/>
      </w:pPr>
      <w:r w:rsidRPr="00A80EDE">
        <w:rPr>
          <w:lang w:eastAsia="ro-RO" w:bidi="ne-NP"/>
        </w:rPr>
        <w:t xml:space="preserve">For managers, the survey </w:t>
      </w:r>
      <w:r w:rsidR="0064166B" w:rsidRPr="00A80EDE">
        <w:rPr>
          <w:lang w:eastAsia="ro-RO" w:bidi="ne-NP"/>
        </w:rPr>
        <w:t>responses show</w:t>
      </w:r>
      <w:r w:rsidRPr="00A80EDE">
        <w:rPr>
          <w:lang w:eastAsia="ro-RO" w:bidi="ne-NP"/>
        </w:rPr>
        <w:t xml:space="preserve"> that overload with tasks is perceived as a frequent phenomenon, mainly associated with the high workload and complex administrative requirements, but also with staff shortages and turnover. In terms of resources, the management appreciates that the material, logistical and financial endowments are adequate, but the human resources and the tools for management, planning, collaboration and learning are limited, which creates an imbalance between the available capacity and the real needs.</w:t>
      </w:r>
    </w:p>
    <w:p w14:paraId="483926FA" w14:textId="77777777" w:rsidR="00A420EC" w:rsidRPr="00A80EDE" w:rsidRDefault="0091600E" w:rsidP="00A80EDE">
      <w:pPr>
        <w:pStyle w:val="Style2"/>
        <w:numPr>
          <w:ilvl w:val="0"/>
          <w:numId w:val="33"/>
        </w:numPr>
        <w:suppressAutoHyphens/>
        <w:rPr>
          <w:lang w:eastAsia="ro-RO" w:bidi="ne-NP"/>
        </w:rPr>
      </w:pPr>
      <w:r w:rsidRPr="00A80EDE">
        <w:rPr>
          <w:lang w:eastAsia="ro-RO" w:bidi="ne-NP"/>
        </w:rPr>
        <w:t xml:space="preserve">In the case of executive staff, perceptions regarding the workload are similar, but more varied: some employees report high pressure, while others appreciate it at a moderate level, the differences being probably influenced by the specifics of the departments. </w:t>
      </w:r>
    </w:p>
    <w:p w14:paraId="5399313E" w14:textId="51D8D0AC" w:rsidR="00A420EC" w:rsidRPr="00A80EDE" w:rsidRDefault="0091600E" w:rsidP="00A80EDE">
      <w:pPr>
        <w:pStyle w:val="Style2"/>
        <w:numPr>
          <w:ilvl w:val="0"/>
          <w:numId w:val="33"/>
        </w:numPr>
        <w:suppressAutoHyphens/>
      </w:pPr>
      <w:r w:rsidRPr="00A80EDE">
        <w:rPr>
          <w:lang w:eastAsia="ro-RO" w:bidi="ne-NP"/>
        </w:rPr>
        <w:t xml:space="preserve">The main causes mentioned relate to administrative requirements, insufficient staffing, high workload and staff turnover. Although the official documents (ROF, DS) clearly define the responsibilities, some of the respondents pointed out in the survey practical difficulties associated with the application and operationalization of the procedures. Overall, both management and executive staff confirm in </w:t>
      </w:r>
      <w:r w:rsidRPr="00A80EDE">
        <w:rPr>
          <w:color w:val="0070C0"/>
          <w:lang w:eastAsia="ro-RO" w:bidi="ne-NP"/>
        </w:rPr>
        <w:t xml:space="preserve">interviews </w:t>
      </w:r>
      <w:r w:rsidRPr="00A80EDE">
        <w:rPr>
          <w:lang w:eastAsia="ro-RO" w:bidi="ne-NP"/>
        </w:rPr>
        <w:t>the existence of high pressure, with a focus on the lack of sufficient human resources and time-consuming administrative tasks</w:t>
      </w:r>
    </w:p>
    <w:p w14:paraId="7039C864" w14:textId="20095B7C" w:rsidR="001749F9" w:rsidRPr="00A80EDE" w:rsidRDefault="0091600E" w:rsidP="00A80EDE">
      <w:pPr>
        <w:pStyle w:val="Style2"/>
        <w:numPr>
          <w:ilvl w:val="0"/>
          <w:numId w:val="33"/>
        </w:numPr>
        <w:suppressAutoHyphens/>
        <w:rPr>
          <w:lang w:eastAsia="ro-RO" w:bidi="ne-NP"/>
        </w:rPr>
      </w:pPr>
      <w:r w:rsidRPr="00A80EDE">
        <w:rPr>
          <w:lang w:eastAsia="ro-RO" w:bidi="ne-NP"/>
        </w:rPr>
        <w:t xml:space="preserve">Regarding </w:t>
      </w:r>
      <w:r w:rsidRPr="00A80EDE">
        <w:rPr>
          <w:rFonts w:eastAsia="Arial"/>
          <w:b/>
        </w:rPr>
        <w:t>the need for training</w:t>
      </w:r>
      <w:r w:rsidRPr="00A80EDE">
        <w:rPr>
          <w:lang w:eastAsia="ro-RO" w:bidi="ne-NP"/>
        </w:rPr>
        <w:t xml:space="preserve">, the analysis of internal documents shows that there is a well-structured training plan, which includes more than 20 training sessions. The topics cover core areas such as public procurement and financial management but also new areas such as digitalisation, the </w:t>
      </w:r>
      <w:r w:rsidRPr="00A80EDE">
        <w:rPr>
          <w:lang w:eastAsia="ro-RO" w:bidi="ne-NP"/>
        </w:rPr>
        <w:lastRenderedPageBreak/>
        <w:t xml:space="preserve">application of the DNSH principle and the strengthening of monitoring and evaluation tools. The plan also includes training </w:t>
      </w:r>
      <w:r w:rsidR="005E0119" w:rsidRPr="00A80EDE">
        <w:rPr>
          <w:lang w:eastAsia="ro-RO" w:bidi="ne-NP"/>
        </w:rPr>
        <w:t>in</w:t>
      </w:r>
      <w:r w:rsidRPr="00A80EDE">
        <w:rPr>
          <w:lang w:eastAsia="ro-RO" w:bidi="ne-NP"/>
        </w:rPr>
        <w:t xml:space="preserve"> the development of state aid schemes, which </w:t>
      </w:r>
      <w:r w:rsidR="0064166B" w:rsidRPr="00A80EDE">
        <w:rPr>
          <w:lang w:eastAsia="ro-RO" w:bidi="ne-NP"/>
        </w:rPr>
        <w:t>involve</w:t>
      </w:r>
      <w:r w:rsidRPr="00A80EDE">
        <w:rPr>
          <w:lang w:eastAsia="ro-RO" w:bidi="ne-NP"/>
        </w:rPr>
        <w:t xml:space="preserve"> the participation of staff from all directions and mentions internal replication. </w:t>
      </w:r>
    </w:p>
    <w:p w14:paraId="0004D6B5" w14:textId="6CDBA6FF" w:rsidR="00B13078" w:rsidRPr="00A80EDE" w:rsidRDefault="00477403" w:rsidP="00A80EDE">
      <w:pPr>
        <w:pStyle w:val="Style2"/>
        <w:numPr>
          <w:ilvl w:val="0"/>
          <w:numId w:val="33"/>
        </w:numPr>
        <w:suppressAutoHyphens/>
        <w:rPr>
          <w:lang w:eastAsia="ro-RO" w:bidi="ne-NP"/>
        </w:rPr>
      </w:pPr>
      <w:r w:rsidRPr="00A80EDE">
        <w:rPr>
          <w:lang w:eastAsia="ro-RO" w:bidi="ne-NP"/>
        </w:rPr>
        <w:t xml:space="preserve">The areas included in the training plan are largely confirmed by the perceptions of the </w:t>
      </w:r>
      <w:r w:rsidR="00C369F9" w:rsidRPr="00A80EDE">
        <w:rPr>
          <w:lang w:eastAsia="ro-RO" w:bidi="ne-NP"/>
        </w:rPr>
        <w:t xml:space="preserve">AM </w:t>
      </w:r>
      <w:r w:rsidRPr="00A80EDE">
        <w:rPr>
          <w:lang w:eastAsia="ro-RO" w:bidi="ne-NP"/>
        </w:rPr>
        <w:t>staff, but according to the survey results, the need for additional training in the use of specific IT systems, in administrative and financial procedures, as well as in project management and monitoring, along with specific aspects related to inter-institutional coordination, is highlighted.</w:t>
      </w:r>
    </w:p>
    <w:p w14:paraId="05FDF974" w14:textId="306DE065" w:rsidR="00A420EC" w:rsidRPr="00A80EDE" w:rsidRDefault="0091600E" w:rsidP="00A80EDE">
      <w:pPr>
        <w:pStyle w:val="Style2"/>
        <w:numPr>
          <w:ilvl w:val="0"/>
          <w:numId w:val="33"/>
        </w:numPr>
        <w:suppressAutoHyphens/>
      </w:pPr>
      <w:r w:rsidRPr="00A80EDE">
        <w:rPr>
          <w:lang w:eastAsia="ro-RO" w:bidi="ne-NP"/>
        </w:rPr>
        <w:t xml:space="preserve">The same aspects emerge from </w:t>
      </w:r>
      <w:r w:rsidRPr="00A80EDE">
        <w:rPr>
          <w:color w:val="0070C0"/>
          <w:lang w:eastAsia="ro-RO" w:bidi="ne-NP"/>
        </w:rPr>
        <w:t>the interviews</w:t>
      </w:r>
      <w:r w:rsidRPr="00A80EDE">
        <w:rPr>
          <w:lang w:eastAsia="ro-RO" w:bidi="ne-NP"/>
        </w:rPr>
        <w:t xml:space="preserve"> conducted with the AM staff. One of the representatives of the program management department stressed that "</w:t>
      </w:r>
      <w:r w:rsidRPr="00A80EDE">
        <w:rPr>
          <w:i/>
        </w:rPr>
        <w:t xml:space="preserve">first of all, you need the ability to understand </w:t>
      </w:r>
      <w:r w:rsidRPr="00A80EDE">
        <w:rPr>
          <w:i/>
          <w:iCs/>
          <w:lang w:eastAsia="ro-RO" w:bidi="ne-NP"/>
        </w:rPr>
        <w:t xml:space="preserve">the context </w:t>
      </w:r>
      <w:r w:rsidR="00893FBA" w:rsidRPr="00A80EDE">
        <w:rPr>
          <w:i/>
        </w:rPr>
        <w:t xml:space="preserve">and </w:t>
      </w:r>
      <w:r w:rsidRPr="00A80EDE">
        <w:rPr>
          <w:i/>
          <w:iCs/>
          <w:lang w:eastAsia="ro-RO" w:bidi="ne-NP"/>
        </w:rPr>
        <w:t>processes</w:t>
      </w:r>
      <w:r w:rsidRPr="00A80EDE">
        <w:rPr>
          <w:i/>
        </w:rPr>
        <w:t xml:space="preserve">, to </w:t>
      </w:r>
      <w:r w:rsidR="0064166B" w:rsidRPr="00A80EDE">
        <w:rPr>
          <w:i/>
        </w:rPr>
        <w:t>manage quite</w:t>
      </w:r>
      <w:r w:rsidRPr="00A80EDE">
        <w:rPr>
          <w:i/>
        </w:rPr>
        <w:t xml:space="preserve"> large volumes of data and to </w:t>
      </w:r>
      <w:r w:rsidR="00292C98" w:rsidRPr="00A80EDE">
        <w:rPr>
          <w:i/>
          <w:iCs/>
          <w:lang w:eastAsia="ro-RO" w:bidi="ne-NP"/>
        </w:rPr>
        <w:t>extract what</w:t>
      </w:r>
      <w:r w:rsidRPr="00A80EDE">
        <w:rPr>
          <w:i/>
        </w:rPr>
        <w:t xml:space="preserve"> is necessary in your activity".</w:t>
      </w:r>
      <w:r w:rsidRPr="00A80EDE">
        <w:rPr>
          <w:lang w:eastAsia="ro-RO" w:bidi="ne-NP"/>
        </w:rPr>
        <w:t xml:space="preserve"> In the territorial offices, the opinions of the interviewees reveal "</w:t>
      </w:r>
      <w:r w:rsidRPr="00A80EDE">
        <w:rPr>
          <w:i/>
          <w:iCs/>
          <w:lang w:eastAsia="ro-RO" w:bidi="ne-NP"/>
        </w:rPr>
        <w:t xml:space="preserve">(...) </w:t>
      </w:r>
      <w:r w:rsidRPr="00A80EDE">
        <w:rPr>
          <w:i/>
        </w:rPr>
        <w:t>All monitoring officers should go through a package of courses, including state aid and de minimis aid</w:t>
      </w:r>
      <w:r w:rsidRPr="00A80EDE">
        <w:rPr>
          <w:i/>
          <w:iCs/>
          <w:lang w:eastAsia="ro-RO" w:bidi="ne-NP"/>
        </w:rPr>
        <w:t>".</w:t>
      </w:r>
      <w:r w:rsidRPr="00A80EDE">
        <w:rPr>
          <w:lang w:eastAsia="ro-RO" w:bidi="ne-NP"/>
        </w:rPr>
        <w:t xml:space="preserve"> It was also mentioned that it is useful for the </w:t>
      </w:r>
      <w:r w:rsidR="005E0119" w:rsidRPr="00A80EDE">
        <w:rPr>
          <w:lang w:eastAsia="ro-RO" w:bidi="ne-NP"/>
        </w:rPr>
        <w:t>classical</w:t>
      </w:r>
      <w:r w:rsidRPr="00A80EDE">
        <w:rPr>
          <w:lang w:eastAsia="ro-RO" w:bidi="ne-NP"/>
        </w:rPr>
        <w:t xml:space="preserve"> </w:t>
      </w:r>
      <w:r w:rsidR="0064166B" w:rsidRPr="00A80EDE">
        <w:rPr>
          <w:lang w:eastAsia="ro-RO" w:bidi="ne-NP"/>
        </w:rPr>
        <w:t>training</w:t>
      </w:r>
      <w:r w:rsidRPr="00A80EDE">
        <w:rPr>
          <w:lang w:eastAsia="ro-RO" w:bidi="ne-NP"/>
        </w:rPr>
        <w:t xml:space="preserve"> to be complemented by practical ways of learning, based on collaboration and exchange of experience: "</w:t>
      </w:r>
      <w:r w:rsidRPr="00A80EDE">
        <w:rPr>
          <w:i/>
        </w:rPr>
        <w:t>learn best by seeing and doing... formal courses are useful, but working meetings and exchanges of experience with other agencies or the Commission are the most practical for us</w:t>
      </w:r>
      <w:r w:rsidRPr="00A80EDE">
        <w:rPr>
          <w:lang w:eastAsia="ro-RO" w:bidi="ne-NP"/>
        </w:rPr>
        <w:t>."</w:t>
      </w:r>
    </w:p>
    <w:p w14:paraId="7B578F2F" w14:textId="222EFA6B" w:rsidR="00A420EC" w:rsidRPr="00A80EDE" w:rsidRDefault="0091600E" w:rsidP="00A80EDE">
      <w:pPr>
        <w:pStyle w:val="Style2"/>
        <w:numPr>
          <w:ilvl w:val="0"/>
          <w:numId w:val="33"/>
        </w:numPr>
        <w:suppressAutoHyphens/>
      </w:pPr>
      <w:r w:rsidRPr="00A80EDE">
        <w:rPr>
          <w:lang w:eastAsia="ro-RO" w:bidi="ne-NP"/>
        </w:rPr>
        <w:t xml:space="preserve">The results </w:t>
      </w:r>
      <w:r w:rsidRPr="00A80EDE">
        <w:rPr>
          <w:color w:val="0070C0"/>
          <w:lang w:eastAsia="ro-RO" w:bidi="ne-NP"/>
        </w:rPr>
        <w:t>of the survey</w:t>
      </w:r>
      <w:r w:rsidRPr="00A80EDE">
        <w:rPr>
          <w:lang w:eastAsia="ro-RO" w:bidi="ne-NP"/>
        </w:rPr>
        <w:t xml:space="preserve"> addressed to the management staff show that the degree of professional competence of the subordinate staff is assessed as high by 70% of the respondents, only 20% assessing it as moderate or low.</w:t>
      </w:r>
    </w:p>
    <w:p w14:paraId="17904456" w14:textId="48698FE3" w:rsidR="00A420EC" w:rsidRPr="00A80EDE" w:rsidRDefault="0091600E" w:rsidP="00A80EDE">
      <w:pPr>
        <w:pStyle w:val="Style2"/>
        <w:numPr>
          <w:ilvl w:val="0"/>
          <w:numId w:val="33"/>
        </w:numPr>
        <w:suppressAutoHyphens/>
        <w:rPr>
          <w:lang w:eastAsia="ro-RO" w:bidi="ne-NP"/>
        </w:rPr>
      </w:pPr>
      <w:r w:rsidRPr="00A80EDE">
        <w:rPr>
          <w:lang w:eastAsia="ro-RO" w:bidi="ne-NP"/>
        </w:rPr>
        <w:t xml:space="preserve">The majority of executives (67%) consider existing training opportunities to be largely adequate </w:t>
      </w:r>
      <w:r w:rsidR="0064166B" w:rsidRPr="00A80EDE">
        <w:rPr>
          <w:lang w:eastAsia="ro-RO" w:bidi="ne-NP"/>
        </w:rPr>
        <w:t>for</w:t>
      </w:r>
      <w:r w:rsidRPr="00A80EDE">
        <w:rPr>
          <w:lang w:eastAsia="ro-RO" w:bidi="ne-NP"/>
        </w:rPr>
        <w:t xml:space="preserve"> their professional development needs, even though there are opinions </w:t>
      </w:r>
      <w:r w:rsidR="0064166B" w:rsidRPr="00A80EDE">
        <w:rPr>
          <w:lang w:eastAsia="ro-RO" w:bidi="ne-NP"/>
        </w:rPr>
        <w:t>that</w:t>
      </w:r>
      <w:r w:rsidRPr="00A80EDE">
        <w:rPr>
          <w:lang w:eastAsia="ro-RO" w:bidi="ne-NP"/>
        </w:rPr>
        <w:t xml:space="preserve"> only partially respond (12%). The level of satisfaction with the position occupied is positive, 54% of respondents feel satisfied and 38% very satisfied. The degree of appreciation felt for the work done is perceived as high, 61% of respondents feel appreciated for the work done "to a large extent". The main motivation mentioned by employees is related to learning and professional development opportunities (45%), </w:t>
      </w:r>
      <w:r w:rsidR="0064166B" w:rsidRPr="00A80EDE">
        <w:rPr>
          <w:lang w:eastAsia="ro-RO" w:bidi="ne-NP"/>
        </w:rPr>
        <w:t>satisfaction</w:t>
      </w:r>
      <w:r w:rsidRPr="00A80EDE">
        <w:rPr>
          <w:lang w:eastAsia="ro-RO" w:bidi="ne-NP"/>
        </w:rPr>
        <w:t xml:space="preserve"> contributing to the development of the region (24%) along with factors such as job stability (13%) and the work environment (12%).</w:t>
      </w:r>
    </w:p>
    <w:p w14:paraId="149A5CEE" w14:textId="12AC7F68" w:rsidR="00A420EC" w:rsidRPr="00A80EDE" w:rsidRDefault="0091600E" w:rsidP="00A80EDE">
      <w:pPr>
        <w:pStyle w:val="Style2"/>
        <w:numPr>
          <w:ilvl w:val="0"/>
          <w:numId w:val="33"/>
        </w:numPr>
        <w:suppressAutoHyphens/>
      </w:pPr>
      <w:r w:rsidRPr="00A80EDE">
        <w:rPr>
          <w:color w:val="0070C0"/>
          <w:lang w:eastAsia="ro-RO" w:bidi="ne-NP"/>
        </w:rPr>
        <w:t>The interviews</w:t>
      </w:r>
      <w:r w:rsidRPr="00A80EDE">
        <w:rPr>
          <w:lang w:eastAsia="ro-RO" w:bidi="ne-NP"/>
        </w:rPr>
        <w:t xml:space="preserve"> show that </w:t>
      </w:r>
      <w:r w:rsidRPr="00A80EDE">
        <w:rPr>
          <w:rFonts w:eastAsia="Arial"/>
          <w:b/>
          <w:bCs/>
        </w:rPr>
        <w:t xml:space="preserve">the financial resources </w:t>
      </w:r>
      <w:r w:rsidRPr="00A80EDE">
        <w:rPr>
          <w:lang w:eastAsia="ro-RO" w:bidi="ne-NP"/>
        </w:rPr>
        <w:t xml:space="preserve">at the level of the </w:t>
      </w:r>
      <w:r w:rsidR="00C369F9" w:rsidRPr="00A80EDE">
        <w:rPr>
          <w:lang w:eastAsia="ro-RO" w:bidi="ne-NP"/>
        </w:rPr>
        <w:t xml:space="preserve">AM </w:t>
      </w:r>
      <w:r w:rsidRPr="00A80EDE">
        <w:rPr>
          <w:rFonts w:eastAsia="Arial"/>
          <w:b/>
          <w:bCs/>
        </w:rPr>
        <w:t>and the budgetary flows</w:t>
      </w:r>
      <w:r w:rsidRPr="00A80EDE">
        <w:rPr>
          <w:lang w:eastAsia="ro-RO" w:bidi="ne-NP"/>
        </w:rPr>
        <w:t xml:space="preserve"> are sufficient for the current functioning, and the financing mechanisms are supported by the contribution of the PR Center. </w:t>
      </w:r>
    </w:p>
    <w:p w14:paraId="00EBC718" w14:textId="77777777" w:rsidR="00A420EC" w:rsidRPr="00A80EDE" w:rsidRDefault="0091600E" w:rsidP="00A80EDE">
      <w:pPr>
        <w:pStyle w:val="Titlu4"/>
        <w:suppressAutoHyphens/>
        <w:rPr>
          <w:rFonts w:eastAsia="MS Mincho"/>
          <w:lang w:eastAsia="ro-RO" w:bidi="ne-NP"/>
        </w:rPr>
      </w:pPr>
      <w:r w:rsidRPr="00A80EDE">
        <w:rPr>
          <w:rFonts w:eastAsia="MS Mincho"/>
          <w:lang w:eastAsia="ro-RO" w:bidi="ne-NP"/>
        </w:rPr>
        <w:t>4.2. Administrative capacity of beneficiaries</w:t>
      </w:r>
    </w:p>
    <w:p w14:paraId="704192C5" w14:textId="7BDB4C25" w:rsidR="00A420EC" w:rsidRPr="00A80EDE" w:rsidRDefault="0091600E" w:rsidP="00A80EDE">
      <w:pPr>
        <w:pStyle w:val="Style2"/>
        <w:numPr>
          <w:ilvl w:val="0"/>
          <w:numId w:val="33"/>
        </w:numPr>
        <w:suppressAutoHyphens/>
      </w:pPr>
      <w:r w:rsidRPr="00A80EDE">
        <w:rPr>
          <w:lang w:eastAsia="ro-RO" w:bidi="ne-NP"/>
        </w:rPr>
        <w:t xml:space="preserve">Regarding </w:t>
      </w:r>
      <w:r w:rsidRPr="00A80EDE">
        <w:rPr>
          <w:b/>
          <w:bCs/>
          <w:lang w:eastAsia="ro-RO" w:bidi="ne-NP"/>
        </w:rPr>
        <w:t>the adequacy of human resources at the level of the beneficiaries, the</w:t>
      </w:r>
      <w:r w:rsidRPr="00A80EDE">
        <w:rPr>
          <w:lang w:eastAsia="ro-RO" w:bidi="ne-NP"/>
        </w:rPr>
        <w:t xml:space="preserve"> data obtained from the case studies reveal that, in the case of communes, cities and municipalities, there is an </w:t>
      </w:r>
      <w:r w:rsidR="0064166B" w:rsidRPr="00A80EDE">
        <w:rPr>
          <w:b/>
          <w:bCs/>
          <w:lang w:eastAsia="ro-RO" w:bidi="ne-NP"/>
        </w:rPr>
        <w:t>under sizing</w:t>
      </w:r>
      <w:r w:rsidRPr="00A80EDE">
        <w:rPr>
          <w:b/>
          <w:bCs/>
          <w:lang w:eastAsia="ro-RO" w:bidi="ne-NP"/>
        </w:rPr>
        <w:t xml:space="preserve"> of the internal teams</w:t>
      </w:r>
      <w:r w:rsidRPr="00A80EDE">
        <w:rPr>
          <w:lang w:eastAsia="ro-RO" w:bidi="ne-NP"/>
        </w:rPr>
        <w:t xml:space="preserve"> involved in the management of projects financed through PR Center. At the level of the communes, there is a lack of compartments dedicated to European funds, the duties being taken over by officials from related fields (financial-accounting, acquisitions, taxes). In small towns, teams are reduced in number, sometimes limited to one or two people, and at the level of municipalities, resources are also perceived as insufficient in relation to the project portfolio.</w:t>
      </w:r>
    </w:p>
    <w:p w14:paraId="1EA89278" w14:textId="69F4D59A" w:rsidR="00A420EC" w:rsidRPr="00A80EDE" w:rsidRDefault="0091600E" w:rsidP="00A80EDE">
      <w:pPr>
        <w:pStyle w:val="Style2"/>
        <w:numPr>
          <w:ilvl w:val="0"/>
          <w:numId w:val="33"/>
        </w:numPr>
        <w:suppressAutoHyphens/>
      </w:pPr>
      <w:r w:rsidRPr="00A80EDE">
        <w:rPr>
          <w:lang w:eastAsia="ro-RO" w:bidi="ne-NP"/>
        </w:rPr>
        <w:t xml:space="preserve">Beneficiaries frequently turn to external </w:t>
      </w:r>
      <w:r w:rsidR="0064166B" w:rsidRPr="00A80EDE">
        <w:rPr>
          <w:lang w:eastAsia="ro-RO" w:bidi="ne-NP"/>
        </w:rPr>
        <w:t>expertise;</w:t>
      </w:r>
      <w:r w:rsidRPr="00A80EDE">
        <w:rPr>
          <w:lang w:eastAsia="ro-RO" w:bidi="ne-NP"/>
        </w:rPr>
        <w:t xml:space="preserve"> consultancy being used especially for the development and implementation of projects. Municipalities are almost entirely dependent on the support of consultants, and cities and municipalities use this type of support especially for complex projects or in deficient areas, such as public procurement. At the same time, some beneficiaries mentioned that infrastructure and restoration projects were managed with support through outsourced services. In some cases, however, the possibility of hiring implementation consultants was limited by the fact that these costs were not eligible, which was an additional obstacle given the lack of internal staff.</w:t>
      </w:r>
    </w:p>
    <w:p w14:paraId="4407D132" w14:textId="2C9147C9" w:rsidR="00A420EC" w:rsidRPr="00A80EDE" w:rsidRDefault="0091600E" w:rsidP="00A80EDE">
      <w:pPr>
        <w:pStyle w:val="Style2"/>
        <w:numPr>
          <w:ilvl w:val="0"/>
          <w:numId w:val="33"/>
        </w:numPr>
        <w:suppressAutoHyphens/>
      </w:pPr>
      <w:r w:rsidRPr="00A80EDE">
        <w:rPr>
          <w:lang w:eastAsia="ro-RO" w:bidi="ne-NP"/>
        </w:rPr>
        <w:t xml:space="preserve">To complement the data obtained from the case studies, beneficiaries were invited to </w:t>
      </w:r>
      <w:r w:rsidRPr="00A80EDE">
        <w:rPr>
          <w:color w:val="0070C0"/>
          <w:lang w:eastAsia="ro-RO" w:bidi="ne-NP"/>
        </w:rPr>
        <w:t xml:space="preserve">respond by survey </w:t>
      </w:r>
      <w:r w:rsidRPr="00A80EDE">
        <w:rPr>
          <w:lang w:eastAsia="ro-RO" w:bidi="ne-NP"/>
        </w:rPr>
        <w:t xml:space="preserve">to the question </w:t>
      </w:r>
      <w:r w:rsidR="0064166B" w:rsidRPr="00A80EDE">
        <w:rPr>
          <w:lang w:eastAsia="ro-RO" w:bidi="ne-NP"/>
        </w:rPr>
        <w:t>of</w:t>
      </w:r>
      <w:r w:rsidRPr="00A80EDE">
        <w:rPr>
          <w:lang w:eastAsia="ro-RO" w:bidi="ne-NP"/>
        </w:rPr>
        <w:t xml:space="preserve"> the extent to which the project team has the necessary resources to carry out the activities efficiently. The results indicate that, in general, human resources, materials, IT </w:t>
      </w:r>
      <w:r w:rsidRPr="00A80EDE">
        <w:rPr>
          <w:lang w:eastAsia="ro-RO" w:bidi="ne-NP"/>
        </w:rPr>
        <w:lastRenderedPageBreak/>
        <w:t xml:space="preserve">applications and management tools are considered to be available to a significant extent, with a relatively balanced distribution between the levels of appreciation 'to a large extent' and 'to a very large extent'. Smaller proportions of respondents felt that these resources were only available to a small extent or avoided commenting. </w:t>
      </w:r>
    </w:p>
    <w:p w14:paraId="7AF14F91" w14:textId="3AB447BD" w:rsidR="00A420EC" w:rsidRPr="00A80EDE" w:rsidRDefault="0091600E" w:rsidP="00A80EDE">
      <w:pPr>
        <w:pStyle w:val="Style2"/>
        <w:numPr>
          <w:ilvl w:val="0"/>
          <w:numId w:val="33"/>
        </w:numPr>
        <w:suppressAutoHyphens/>
      </w:pPr>
      <w:r w:rsidRPr="00A80EDE">
        <w:rPr>
          <w:lang w:eastAsia="ro-RO" w:bidi="ne-NP"/>
        </w:rPr>
        <w:t xml:space="preserve">The results </w:t>
      </w:r>
      <w:r w:rsidRPr="00A80EDE">
        <w:rPr>
          <w:color w:val="0070C0"/>
          <w:lang w:eastAsia="ro-RO" w:bidi="ne-NP"/>
        </w:rPr>
        <w:t>of the</w:t>
      </w:r>
      <w:r w:rsidRPr="00A80EDE">
        <w:rPr>
          <w:lang w:eastAsia="ro-RO" w:bidi="ne-NP"/>
        </w:rPr>
        <w:t xml:space="preserve"> survey applied to beneficiaries should be interpreted with caution, as the sample includes a large number of respondents from the SME category. They manage projects with less administrative complexity and therefore assess the available resources as generally adequate. On the other hand, the data obtained through the case studies applied to the </w:t>
      </w:r>
      <w:r w:rsidR="00F94785" w:rsidRPr="00A80EDE">
        <w:rPr>
          <w:lang w:eastAsia="ro-RO" w:bidi="ne-NP"/>
        </w:rPr>
        <w:t>UAT</w:t>
      </w:r>
      <w:r w:rsidRPr="00A80EDE">
        <w:rPr>
          <w:lang w:eastAsia="ro-RO" w:bidi="ne-NP"/>
        </w:rPr>
        <w:t xml:space="preserve">s reveal that, for </w:t>
      </w:r>
      <w:r w:rsidRPr="00A80EDE">
        <w:rPr>
          <w:b/>
          <w:bCs/>
          <w:lang w:eastAsia="ro-RO" w:bidi="ne-NP"/>
        </w:rPr>
        <w:t>public beneficiaries, human resources are insufficient both numerically and in terms of specialization</w:t>
      </w:r>
      <w:r w:rsidRPr="00A80EDE">
        <w:rPr>
          <w:lang w:eastAsia="ro-RO" w:bidi="ne-NP"/>
        </w:rPr>
        <w:t>, which confirms a structural problem of administrative capacity. Thus, the results of the two instruments complement each other: the survey captures the general perception (dominated by SMEs), while the case studies bring to the fore the more pronounced difficulties of local authorities.</w:t>
      </w:r>
    </w:p>
    <w:p w14:paraId="525959DF" w14:textId="7EA07DDD" w:rsidR="004254EA" w:rsidRPr="00A80EDE" w:rsidRDefault="0091600E" w:rsidP="00A80EDE">
      <w:pPr>
        <w:pStyle w:val="Style2"/>
        <w:numPr>
          <w:ilvl w:val="0"/>
          <w:numId w:val="33"/>
        </w:numPr>
        <w:suppressAutoHyphens/>
        <w:rPr>
          <w:lang w:eastAsia="ro-RO" w:bidi="ne-NP"/>
        </w:rPr>
      </w:pPr>
      <w:r w:rsidRPr="00A80EDE">
        <w:rPr>
          <w:color w:val="0070C0"/>
          <w:lang w:eastAsia="ro-RO" w:bidi="ne-NP"/>
        </w:rPr>
        <w:t xml:space="preserve">The documentary analysis </w:t>
      </w:r>
      <w:r w:rsidRPr="00A80EDE">
        <w:rPr>
          <w:lang w:eastAsia="ro-RO" w:bidi="ne-NP"/>
        </w:rPr>
        <w:t xml:space="preserve">of the programme and the implementation documents, such as the calls for projects, shows that the </w:t>
      </w:r>
      <w:r w:rsidR="00F94785" w:rsidRPr="00A80EDE">
        <w:rPr>
          <w:lang w:eastAsia="ro-RO" w:bidi="ne-NP"/>
        </w:rPr>
        <w:t>UAT</w:t>
      </w:r>
      <w:r w:rsidRPr="00A80EDE">
        <w:rPr>
          <w:lang w:eastAsia="ro-RO" w:bidi="ne-NP"/>
        </w:rPr>
        <w:t xml:space="preserve">s have to go through the process of applying for funding for each project, which generates a considerable administrative burden, additional administrative costs at the </w:t>
      </w:r>
      <w:r w:rsidR="00C369F9" w:rsidRPr="00A80EDE">
        <w:rPr>
          <w:lang w:eastAsia="ro-RO" w:bidi="ne-NP"/>
        </w:rPr>
        <w:t xml:space="preserve">AM </w:t>
      </w:r>
      <w:r w:rsidRPr="00A80EDE">
        <w:rPr>
          <w:lang w:eastAsia="ro-RO" w:bidi="ne-NP"/>
        </w:rPr>
        <w:t>level, but also a rigid funding framework.</w:t>
      </w:r>
    </w:p>
    <w:p w14:paraId="3B2052B0" w14:textId="6E097341" w:rsidR="004254EA" w:rsidRPr="00A80EDE" w:rsidRDefault="004254EA" w:rsidP="00A80EDE">
      <w:pPr>
        <w:pStyle w:val="Style2"/>
        <w:numPr>
          <w:ilvl w:val="0"/>
          <w:numId w:val="33"/>
        </w:numPr>
        <w:suppressAutoHyphens/>
        <w:rPr>
          <w:lang w:eastAsia="ro-RO" w:bidi="ne-NP"/>
        </w:rPr>
      </w:pPr>
      <w:r w:rsidRPr="00A80EDE">
        <w:rPr>
          <w:lang w:eastAsia="ro-RO" w:bidi="ne-NP"/>
        </w:rPr>
        <w:t xml:space="preserve">The documentary analysis of the program and the implementation documents, including the calls for projects, shows that the </w:t>
      </w:r>
      <w:r w:rsidR="00F94785" w:rsidRPr="00A80EDE">
        <w:rPr>
          <w:lang w:eastAsia="ro-RO" w:bidi="ne-NP"/>
        </w:rPr>
        <w:t>UAT</w:t>
      </w:r>
      <w:r w:rsidRPr="00A80EDE">
        <w:rPr>
          <w:lang w:eastAsia="ro-RO" w:bidi="ne-NP"/>
        </w:rPr>
        <w:t xml:space="preserve">s must go through the process of applying for funding for each project separately. This approach generates a considerable administrative burden for </w:t>
      </w:r>
      <w:r w:rsidR="00F94785" w:rsidRPr="00A80EDE">
        <w:rPr>
          <w:lang w:eastAsia="ro-RO" w:bidi="ne-NP"/>
        </w:rPr>
        <w:t>UAT</w:t>
      </w:r>
      <w:r w:rsidRPr="00A80EDE">
        <w:rPr>
          <w:lang w:eastAsia="ro-RO" w:bidi="ne-NP"/>
        </w:rPr>
        <w:t xml:space="preserve">s, entails additional administrative costs at </w:t>
      </w:r>
      <w:r w:rsidR="00C369F9" w:rsidRPr="00A80EDE">
        <w:rPr>
          <w:lang w:eastAsia="ro-RO" w:bidi="ne-NP"/>
        </w:rPr>
        <w:t xml:space="preserve">AM </w:t>
      </w:r>
      <w:r w:rsidRPr="00A80EDE">
        <w:rPr>
          <w:lang w:eastAsia="ro-RO" w:bidi="ne-NP"/>
        </w:rPr>
        <w:t>level and contributes to a relatively rigid funding framework.</w:t>
      </w:r>
      <w:r w:rsidRPr="00A80EDE">
        <w:rPr>
          <w:rFonts w:eastAsia="MS Mincho"/>
          <w:lang w:eastAsia="ro-RO" w:bidi="ne-NP"/>
        </w:rPr>
        <w:t xml:space="preserve"> The ROP evaluations 2014</w:t>
      </w:r>
      <w:r w:rsidRPr="00A80EDE">
        <w:rPr>
          <w:lang w:eastAsia="ro-RO" w:bidi="ne-NP"/>
        </w:rPr>
        <w:t xml:space="preserve">–2020, in particular the evaluation of Axis 13 on supporting small and medium-sized towns, the evaluation of Axis 4 for municipalities and the evaluation of Axis 10 on educational infrastructure, analysed the administrative capacity of </w:t>
      </w:r>
      <w:r w:rsidR="00F94785" w:rsidRPr="00A80EDE">
        <w:rPr>
          <w:lang w:eastAsia="ro-RO" w:bidi="ne-NP"/>
        </w:rPr>
        <w:t>UAT</w:t>
      </w:r>
      <w:r w:rsidRPr="00A80EDE">
        <w:rPr>
          <w:lang w:eastAsia="ro-RO" w:bidi="ne-NP"/>
        </w:rPr>
        <w:t>s in both urban and rural areas. The common conclusion of these</w:t>
      </w:r>
      <w:r w:rsidRPr="00A80EDE">
        <w:rPr>
          <w:rFonts w:eastAsia="MS Mincho"/>
          <w:lang w:eastAsia="ro-RO" w:bidi="ne-NP"/>
        </w:rPr>
        <w:t xml:space="preserve"> evaluations </w:t>
      </w:r>
      <w:r w:rsidRPr="00A80EDE">
        <w:rPr>
          <w:lang w:eastAsia="ro-RO" w:bidi="ne-NP"/>
        </w:rPr>
        <w:t>is that many municipalities and small or medium-sized towns have a limited capacity</w:t>
      </w:r>
      <w:r w:rsidRPr="00A80EDE">
        <w:rPr>
          <w:rFonts w:eastAsia="MS Mincho"/>
          <w:lang w:eastAsia="ro-RO" w:bidi="ne-NP"/>
        </w:rPr>
        <w:t xml:space="preserve"> to access funds </w:t>
      </w:r>
      <w:r w:rsidRPr="00A80EDE">
        <w:rPr>
          <w:lang w:eastAsia="ro-RO" w:bidi="ne-NP"/>
        </w:rPr>
        <w:t>and implement projects.</w:t>
      </w:r>
    </w:p>
    <w:p w14:paraId="6211080C" w14:textId="2107CBC1" w:rsidR="004254EA" w:rsidRPr="00A80EDE" w:rsidRDefault="004254EA" w:rsidP="00A80EDE">
      <w:pPr>
        <w:pStyle w:val="Style2"/>
        <w:numPr>
          <w:ilvl w:val="0"/>
          <w:numId w:val="33"/>
        </w:numPr>
        <w:suppressAutoHyphens/>
        <w:rPr>
          <w:lang w:eastAsia="ro-RO" w:bidi="ne-NP"/>
        </w:rPr>
      </w:pPr>
      <w:r w:rsidRPr="00A80EDE">
        <w:rPr>
          <w:lang w:eastAsia="ro-RO" w:bidi="ne-NP"/>
        </w:rPr>
        <w:t xml:space="preserve">Although integrated strategies are envisaged as important milestones in local development planning, they are insufficiently used to substantiate and finance coherent "packages" of projects at the level of </w:t>
      </w:r>
      <w:r w:rsidR="00F94785" w:rsidRPr="00A80EDE">
        <w:rPr>
          <w:lang w:eastAsia="ro-RO" w:bidi="ne-NP"/>
        </w:rPr>
        <w:t>UAT</w:t>
      </w:r>
      <w:r w:rsidRPr="00A80EDE">
        <w:rPr>
          <w:lang w:eastAsia="ro-RO" w:bidi="ne-NP"/>
        </w:rPr>
        <w:t xml:space="preserve">s – complementary projects that, together, could generate concrete results and visible benefits for the inhabitants. The evaluation of Axis 13 highlights that many urban </w:t>
      </w:r>
      <w:r w:rsidR="00F94785" w:rsidRPr="00A80EDE">
        <w:rPr>
          <w:lang w:eastAsia="ro-RO" w:bidi="ne-NP"/>
        </w:rPr>
        <w:t>UAT</w:t>
      </w:r>
      <w:r w:rsidRPr="00A80EDE">
        <w:rPr>
          <w:lang w:eastAsia="ro-RO" w:bidi="ne-NP"/>
        </w:rPr>
        <w:t>s have significantly strengthened their capacity to attract European funding and project management, developing specialized departments, formed through direct experience and supported by training programs dedicated to the management of European funds.</w:t>
      </w:r>
    </w:p>
    <w:p w14:paraId="426E9398" w14:textId="43208028" w:rsidR="004254EA" w:rsidRPr="00A80EDE" w:rsidRDefault="004254EA" w:rsidP="00A80EDE">
      <w:pPr>
        <w:pStyle w:val="Style2"/>
        <w:numPr>
          <w:ilvl w:val="0"/>
          <w:numId w:val="33"/>
        </w:numPr>
        <w:suppressAutoHyphens/>
        <w:rPr>
          <w:lang w:eastAsia="ro-RO" w:bidi="ne-NP"/>
        </w:rPr>
      </w:pPr>
      <w:r w:rsidRPr="00A80EDE">
        <w:rPr>
          <w:lang w:eastAsia="ro-RO" w:bidi="ne-NP"/>
        </w:rPr>
        <w:t xml:space="preserve">However, the analysis shows that these departments have evolved faster than other functions of the local public administration. In many cases, where funding has been conditional on the existence of specific strategies, plans or mechanisms, project departments have compensated for the limitations of other services by taking on tasks that go beyond their traditional scope. Thus, in some </w:t>
      </w:r>
      <w:r w:rsidR="00F94785" w:rsidRPr="00A80EDE">
        <w:rPr>
          <w:lang w:eastAsia="ro-RO" w:bidi="ne-NP"/>
        </w:rPr>
        <w:t>UAT</w:t>
      </w:r>
      <w:r w:rsidRPr="00A80EDE">
        <w:rPr>
          <w:lang w:eastAsia="ro-RO" w:bidi="ne-NP"/>
        </w:rPr>
        <w:t>s, development strategies or SUMPs have been developed and managed by these departments, which are also involved in public procurement or investment management to accelerate processes, replacing the lack of capacity of the urban development function.</w:t>
      </w:r>
    </w:p>
    <w:p w14:paraId="191EF1C8" w14:textId="50E15E97" w:rsidR="00E1616C" w:rsidRPr="00A80EDE" w:rsidRDefault="00E1616C" w:rsidP="00A80EDE">
      <w:pPr>
        <w:pStyle w:val="Style2"/>
        <w:numPr>
          <w:ilvl w:val="0"/>
          <w:numId w:val="33"/>
        </w:numPr>
        <w:suppressAutoHyphens/>
        <w:rPr>
          <w:lang w:eastAsia="ro-RO" w:bidi="ne-NP"/>
        </w:rPr>
      </w:pPr>
      <w:r w:rsidRPr="00A80EDE">
        <w:rPr>
          <w:lang w:eastAsia="ro-RO" w:bidi="ne-NP"/>
        </w:rPr>
        <w:t xml:space="preserve">The current funding model, based on individual projects and fragmented calls, does not allow for the full exploitation of the territorial potential. Many </w:t>
      </w:r>
      <w:r w:rsidR="00F94785" w:rsidRPr="00A80EDE">
        <w:rPr>
          <w:lang w:eastAsia="ro-RO" w:bidi="ne-NP"/>
        </w:rPr>
        <w:t>UAT</w:t>
      </w:r>
      <w:r w:rsidRPr="00A80EDE">
        <w:rPr>
          <w:lang w:eastAsia="ro-RO" w:bidi="ne-NP"/>
        </w:rPr>
        <w:t>s (especially small towns and municipalities) have limited strategic planning capacity, leading to undersized or incoherent portfolios. The lack of integrated urban-rural strategies and the absence of mechanisms for generating portfolios based on data and evidence reduce the impact of regional investments, and without dedicated support, capacity gaps are likely to widen.</w:t>
      </w:r>
    </w:p>
    <w:p w14:paraId="77AA6914" w14:textId="7B977B12" w:rsidR="00A420EC" w:rsidRPr="00A80EDE" w:rsidRDefault="00E1616C" w:rsidP="00A80EDE">
      <w:pPr>
        <w:pStyle w:val="Style2"/>
        <w:numPr>
          <w:ilvl w:val="0"/>
          <w:numId w:val="33"/>
        </w:numPr>
        <w:suppressAutoHyphens/>
        <w:rPr>
          <w:i/>
          <w:iCs/>
        </w:rPr>
      </w:pPr>
      <w:r w:rsidRPr="00A80EDE">
        <w:rPr>
          <w:lang w:eastAsia="ro-RO" w:bidi="ne-NP"/>
        </w:rPr>
        <w:t xml:space="preserve">The role of the </w:t>
      </w:r>
      <w:r w:rsidR="00C369F9" w:rsidRPr="00A80EDE">
        <w:rPr>
          <w:lang w:eastAsia="ro-RO" w:bidi="ne-NP"/>
        </w:rPr>
        <w:t xml:space="preserve">AM </w:t>
      </w:r>
      <w:r w:rsidRPr="00A80EDE">
        <w:rPr>
          <w:lang w:eastAsia="ro-RO" w:bidi="ne-NP"/>
        </w:rPr>
        <w:t xml:space="preserve">as a strategic enabler of regional development, strengthened by the decentralisation of the programme (as reflected in the response to AR2), becomes essential in the development of the administrative capacity of the region. In fulfilling this role, it is necessary to take into account the different needs of beneficiaries, both in terms of procedural support and the design of integrated projects. The absence of consolidated one-stop-shop services, well-functioning learning </w:t>
      </w:r>
      <w:r w:rsidRPr="00A80EDE">
        <w:rPr>
          <w:lang w:eastAsia="ro-RO" w:bidi="ne-NP"/>
        </w:rPr>
        <w:lastRenderedPageBreak/>
        <w:t xml:space="preserve">networks and feedback with a visible effect limits the potential for collaboration and trust between AM and beneficiaries. The ability to build a strategic support ecosystem thus remains a central challenge. Although the first phase of the Roadmap (2024–2025) managed to consolidate the institutional base of the AM PR Centre and operationalize the core mechanisms, the data collected confirm that </w:t>
      </w:r>
      <w:r w:rsidR="0091600E" w:rsidRPr="00A80EDE">
        <w:rPr>
          <w:b/>
          <w:bCs/>
          <w:lang w:eastAsia="ro-RO" w:bidi="ne-NP"/>
        </w:rPr>
        <w:t>structural challenges persist</w:t>
      </w:r>
      <w:r w:rsidR="0091600E" w:rsidRPr="00A80EDE">
        <w:rPr>
          <w:lang w:eastAsia="ro-RO" w:bidi="ne-NP"/>
        </w:rPr>
        <w:t xml:space="preserve">, imposing a stage of deep modernization and organizational agility for the 2026–2029 horizon. The challenges concern both the staff of the managing authority and the beneficiaries and partners. </w:t>
      </w:r>
      <w:r w:rsidR="0091600E" w:rsidRPr="00A80EDE">
        <w:rPr>
          <w:i/>
          <w:iCs/>
          <w:lang w:eastAsia="ro-RO" w:bidi="ne-NP"/>
        </w:rPr>
        <w:t>The extended analysis can be found in Annex 1.4.1.</w:t>
      </w:r>
    </w:p>
    <w:p w14:paraId="5F8E146F" w14:textId="6A5B3044" w:rsidR="00A420EC" w:rsidRPr="00A80EDE" w:rsidRDefault="0091600E" w:rsidP="00A80EDE">
      <w:pPr>
        <w:pStyle w:val="Style2"/>
        <w:numPr>
          <w:ilvl w:val="0"/>
          <w:numId w:val="33"/>
        </w:numPr>
        <w:suppressAutoHyphens/>
      </w:pPr>
      <w:r w:rsidRPr="00A80EDE">
        <w:rPr>
          <w:lang w:eastAsia="ro-RO" w:bidi="ne-NP"/>
        </w:rPr>
        <w:t xml:space="preserve">The overall objective of the 2026–2029 phase can be formulated as the development of an </w:t>
      </w:r>
      <w:r w:rsidRPr="00A80EDE">
        <w:rPr>
          <w:b/>
          <w:bCs/>
          <w:lang w:eastAsia="ro-RO" w:bidi="ne-NP"/>
        </w:rPr>
        <w:t>adaptive and emerging regional implementation system</w:t>
      </w:r>
      <w:r w:rsidRPr="00A80EDE">
        <w:rPr>
          <w:lang w:eastAsia="ro-RO" w:bidi="ne-NP"/>
        </w:rPr>
        <w:t>, operating on the basis of continuous learning and results-orientation, thus preparing the regional ecosystem for the post-2027 period.</w:t>
      </w:r>
    </w:p>
    <w:p w14:paraId="75BBB9D0" w14:textId="6A0A3C21" w:rsidR="00A420EC" w:rsidRPr="00A80EDE" w:rsidRDefault="0091600E" w:rsidP="00A80EDE">
      <w:pPr>
        <w:pStyle w:val="Style2"/>
        <w:numPr>
          <w:ilvl w:val="0"/>
          <w:numId w:val="33"/>
        </w:numPr>
        <w:suppressAutoHyphens/>
      </w:pPr>
      <w:r w:rsidRPr="00A80EDE">
        <w:rPr>
          <w:lang w:eastAsia="ro-RO" w:bidi="ne-NP"/>
        </w:rPr>
        <w:t xml:space="preserve">There is a need to strengthen the role of the </w:t>
      </w:r>
      <w:r w:rsidR="00C369F9" w:rsidRPr="00A80EDE">
        <w:rPr>
          <w:lang w:eastAsia="ro-RO" w:bidi="ne-NP"/>
        </w:rPr>
        <w:t xml:space="preserve">AM </w:t>
      </w:r>
      <w:r w:rsidRPr="00A80EDE">
        <w:rPr>
          <w:lang w:eastAsia="ro-RO" w:bidi="ne-NP"/>
        </w:rPr>
        <w:t>as a strategic enabler, providing differentiated support and integrated services. This means creating a regional contact point for the implementation of dual support (procedural + strategic, focused on integrated project design). Learning networks and communities of practice (mentoring) can also be developed, complemented by 'effective' feedback (clear communication of changes resulting from consultations) to build trust and partnership.</w:t>
      </w:r>
    </w:p>
    <w:p w14:paraId="7DF83B32" w14:textId="25B1AB29" w:rsidR="00A420EC" w:rsidRPr="00A80EDE" w:rsidRDefault="0091600E" w:rsidP="00A80EDE">
      <w:pPr>
        <w:pStyle w:val="Style2"/>
        <w:numPr>
          <w:ilvl w:val="0"/>
          <w:numId w:val="33"/>
        </w:numPr>
        <w:suppressAutoHyphens/>
      </w:pPr>
      <w:r w:rsidRPr="00A80EDE">
        <w:rPr>
          <w:lang w:eastAsia="ro-RO" w:bidi="ne-NP"/>
        </w:rPr>
        <w:t xml:space="preserve">The fundamental challenge is to support the reform of the implementation system and to orient the regulatory framework towards results, simplification and flexibility. Promoting the common positions of the regional MAs and a structured dialogue with MIPE, ANAP and the Audit Authority (AA) for reforming the control (results-oriented, not process-oriented), increasing flexibility in the </w:t>
      </w:r>
      <w:r w:rsidR="00C369F9" w:rsidRPr="00A80EDE">
        <w:rPr>
          <w:lang w:eastAsia="ro-RO" w:bidi="ne-NP"/>
        </w:rPr>
        <w:t xml:space="preserve">AM </w:t>
      </w:r>
      <w:r w:rsidRPr="00A80EDE">
        <w:rPr>
          <w:lang w:eastAsia="ro-RO" w:bidi="ne-NP"/>
        </w:rPr>
        <w:t>decision for adaptation along the way according to needs.</w:t>
      </w:r>
    </w:p>
    <w:p w14:paraId="7CB32DA7" w14:textId="5F841E29" w:rsidR="00E67874" w:rsidRPr="00A80EDE" w:rsidRDefault="0091600E" w:rsidP="00A80EDE">
      <w:pPr>
        <w:pStyle w:val="Style2"/>
        <w:numPr>
          <w:ilvl w:val="0"/>
          <w:numId w:val="33"/>
        </w:numPr>
        <w:suppressAutoHyphens/>
      </w:pPr>
      <w:r w:rsidRPr="00A80EDE">
        <w:rPr>
          <w:lang w:eastAsia="ro-RO" w:bidi="ne-NP"/>
        </w:rPr>
        <w:t xml:space="preserve">Reducing the granularity of calls, eliminating "micro-management" from the guidelines and introducing performance-based financing instruments (grant conditional on achieving the result), are innovative approaches that need </w:t>
      </w:r>
      <w:r w:rsidR="0064166B" w:rsidRPr="00A80EDE">
        <w:rPr>
          <w:lang w:eastAsia="ro-RO" w:bidi="ne-NP"/>
        </w:rPr>
        <w:t>the preparation</w:t>
      </w:r>
      <w:r w:rsidRPr="00A80EDE">
        <w:rPr>
          <w:lang w:eastAsia="ro-RO" w:bidi="ne-NP"/>
        </w:rPr>
        <w:t xml:space="preserve"> of regional and national actors aimed at reducing resistance to change.</w:t>
      </w:r>
    </w:p>
    <w:p w14:paraId="2E2BB016" w14:textId="77777777" w:rsidR="00A420EC" w:rsidRPr="00A80EDE" w:rsidRDefault="0091600E" w:rsidP="00A80EDE">
      <w:pPr>
        <w:pStyle w:val="Titlu4"/>
        <w:suppressAutoHyphens/>
        <w:rPr>
          <w:rFonts w:eastAsia="MS Mincho"/>
          <w:lang w:eastAsia="ro-RO" w:bidi="ne-NP"/>
        </w:rPr>
      </w:pPr>
      <w:r w:rsidRPr="00A80EDE">
        <w:rPr>
          <w:rFonts w:eastAsia="MS Mincho"/>
          <w:lang w:eastAsia="ro-RO" w:bidi="ne-NP"/>
        </w:rPr>
        <w:t>4.3. Material and IT resources</w:t>
      </w:r>
    </w:p>
    <w:p w14:paraId="5D0EF755" w14:textId="2C001053" w:rsidR="00A420EC" w:rsidRPr="00A80EDE" w:rsidRDefault="0091600E" w:rsidP="00A80EDE">
      <w:pPr>
        <w:pStyle w:val="Style2"/>
        <w:numPr>
          <w:ilvl w:val="0"/>
          <w:numId w:val="33"/>
        </w:numPr>
        <w:suppressAutoHyphens/>
        <w:rPr>
          <w:lang w:eastAsia="ro-RO" w:bidi="ne-NP"/>
        </w:rPr>
      </w:pPr>
      <w:r w:rsidRPr="00A80EDE">
        <w:rPr>
          <w:lang w:eastAsia="ro-RO" w:bidi="ne-NP"/>
        </w:rPr>
        <w:t xml:space="preserve">In terms of material and IT resources, the MySMIS 2021-2027 platform is the main working tool. Although the functionality of the platform is not directly related to the competence of the </w:t>
      </w:r>
      <w:r w:rsidR="00F94785" w:rsidRPr="00A80EDE">
        <w:rPr>
          <w:lang w:eastAsia="ro-RO" w:bidi="ne-NP"/>
        </w:rPr>
        <w:t xml:space="preserve">ADR Centre </w:t>
      </w:r>
      <w:r w:rsidRPr="00A80EDE">
        <w:rPr>
          <w:lang w:eastAsia="ro-RO" w:bidi="ne-NP"/>
        </w:rPr>
        <w:t xml:space="preserve">as a Managing Authority, it must be analysed in the broader context of the functioning of the Centre PR implementation system. Both the beneficiaries and the </w:t>
      </w:r>
      <w:r w:rsidR="00C369F9" w:rsidRPr="00A80EDE">
        <w:rPr>
          <w:lang w:eastAsia="ro-RO" w:bidi="ne-NP"/>
        </w:rPr>
        <w:t xml:space="preserve">AM </w:t>
      </w:r>
      <w:r w:rsidRPr="00A80EDE">
        <w:rPr>
          <w:lang w:eastAsia="ro-RO" w:bidi="ne-NP"/>
        </w:rPr>
        <w:t>staff reported that the performance and limitations of MySMIS directly influence the administrative processes, the pace of implementation and the degree of load on human resources.</w:t>
      </w:r>
    </w:p>
    <w:p w14:paraId="223372B0" w14:textId="350E5AAE" w:rsidR="00A420EC" w:rsidRPr="00A80EDE" w:rsidRDefault="0091600E" w:rsidP="00A80EDE">
      <w:pPr>
        <w:pStyle w:val="Style2"/>
        <w:numPr>
          <w:ilvl w:val="0"/>
          <w:numId w:val="33"/>
        </w:numPr>
        <w:suppressAutoHyphens/>
      </w:pPr>
      <w:r w:rsidRPr="00A80EDE">
        <w:rPr>
          <w:lang w:eastAsia="ro-RO" w:bidi="ne-NP"/>
        </w:rPr>
        <w:t xml:space="preserve">From </w:t>
      </w:r>
      <w:r w:rsidRPr="00A80EDE">
        <w:rPr>
          <w:color w:val="0070C0"/>
          <w:lang w:eastAsia="ro-RO" w:bidi="ne-NP"/>
        </w:rPr>
        <w:t xml:space="preserve">the interviews conducted </w:t>
      </w:r>
      <w:r w:rsidRPr="00A80EDE">
        <w:rPr>
          <w:lang w:eastAsia="ro-RO" w:bidi="ne-NP"/>
        </w:rPr>
        <w:t xml:space="preserve">with the AM staff and the beneficiaries, it appears that </w:t>
      </w:r>
      <w:r w:rsidR="00A80EDE" w:rsidRPr="00A80EDE">
        <w:rPr>
          <w:lang w:eastAsia="ro-RO" w:bidi="ne-NP"/>
        </w:rPr>
        <w:t>MyS</w:t>
      </w:r>
      <w:r w:rsidR="00A80EDE">
        <w:rPr>
          <w:lang w:eastAsia="ro-RO" w:bidi="ne-NP"/>
        </w:rPr>
        <w:t>MIS</w:t>
      </w:r>
      <w:r w:rsidR="00A80EDE" w:rsidRPr="00A80EDE">
        <w:rPr>
          <w:lang w:eastAsia="ro-RO" w:bidi="ne-NP"/>
        </w:rPr>
        <w:t xml:space="preserve"> </w:t>
      </w:r>
      <w:r w:rsidRPr="00A80EDE">
        <w:rPr>
          <w:lang w:eastAsia="ro-RO" w:bidi="ne-NP"/>
        </w:rPr>
        <w:t xml:space="preserve">is perceived as an improvement over the previous period, in that the documents are submitted online, checks and payments are made faster, and the system offers new reporting and monitoring functionalities. </w:t>
      </w:r>
      <w:r w:rsidR="0064166B" w:rsidRPr="00A80EDE">
        <w:rPr>
          <w:lang w:eastAsia="ro-RO" w:bidi="ne-NP"/>
        </w:rPr>
        <w:t>Payers</w:t>
      </w:r>
      <w:r w:rsidRPr="00A80EDE">
        <w:rPr>
          <w:lang w:eastAsia="ro-RO" w:bidi="ne-NP"/>
        </w:rPr>
        <w:t xml:space="preserve"> appreciate the automatic notifications and speeding up settlements, while AM staff note the ability to extract more useful data and reduce the need for parallel records in Excel.</w:t>
      </w:r>
    </w:p>
    <w:p w14:paraId="2AC3989D" w14:textId="197EFE1F" w:rsidR="00A420EC" w:rsidRPr="00A80EDE" w:rsidRDefault="0091600E" w:rsidP="00A80EDE">
      <w:pPr>
        <w:pStyle w:val="Style2"/>
        <w:numPr>
          <w:ilvl w:val="0"/>
          <w:numId w:val="33"/>
        </w:numPr>
        <w:suppressAutoHyphens/>
        <w:rPr>
          <w:lang w:eastAsia="ro-RO" w:bidi="ne-NP"/>
        </w:rPr>
      </w:pPr>
      <w:r w:rsidRPr="00A80EDE">
        <w:rPr>
          <w:lang w:eastAsia="ro-RO" w:bidi="ne-NP"/>
        </w:rPr>
        <w:t xml:space="preserve">However, both categories also signaled limitations. The beneficiaries mention the obligation to upload the same documents repeatedly and the difficulty of using progress reports, and the </w:t>
      </w:r>
      <w:r w:rsidR="00C369F9" w:rsidRPr="00A80EDE">
        <w:rPr>
          <w:lang w:eastAsia="ro-RO" w:bidi="ne-NP"/>
        </w:rPr>
        <w:t xml:space="preserve">AM </w:t>
      </w:r>
      <w:r w:rsidRPr="00A80EDE">
        <w:rPr>
          <w:lang w:eastAsia="ro-RO" w:bidi="ne-NP"/>
        </w:rPr>
        <w:t>staff indicate the lack of an integrated communication module, and difficulties in standardizing the flow of appeals. In addition, the phased projects transferred from the ROP 2014-2020 generated a high administrative volume due to the need to re-enter data into the new system.</w:t>
      </w:r>
    </w:p>
    <w:p w14:paraId="2CC28E3C" w14:textId="4D73151A" w:rsidR="00A420EC" w:rsidRPr="00A80EDE" w:rsidRDefault="0091600E" w:rsidP="00A80EDE">
      <w:pPr>
        <w:pStyle w:val="Style2"/>
        <w:numPr>
          <w:ilvl w:val="0"/>
          <w:numId w:val="33"/>
        </w:numPr>
        <w:suppressAutoHyphens/>
        <w:rPr>
          <w:lang w:eastAsia="ro-RO" w:bidi="ne-NP"/>
        </w:rPr>
      </w:pPr>
      <w:r w:rsidRPr="00A80EDE">
        <w:rPr>
          <w:lang w:eastAsia="ro-RO" w:bidi="ne-NP"/>
        </w:rPr>
        <w:t xml:space="preserve">Thus, even if it is not under the direct responsibility of the Center </w:t>
      </w:r>
      <w:r w:rsidR="00265A17" w:rsidRPr="00A80EDE">
        <w:rPr>
          <w:lang w:eastAsia="ro-RO" w:bidi="ne-NP"/>
        </w:rPr>
        <w:t>ADR</w:t>
      </w:r>
      <w:r w:rsidRPr="00A80EDE">
        <w:rPr>
          <w:lang w:eastAsia="ro-RO" w:bidi="ne-NP"/>
        </w:rPr>
        <w:t xml:space="preserve">, the functionality of the platform significantly influences both the activity of the </w:t>
      </w:r>
      <w:r w:rsidR="00C369F9" w:rsidRPr="00A80EDE">
        <w:rPr>
          <w:lang w:eastAsia="ro-RO" w:bidi="ne-NP"/>
        </w:rPr>
        <w:t xml:space="preserve">AM </w:t>
      </w:r>
      <w:r w:rsidRPr="00A80EDE">
        <w:rPr>
          <w:lang w:eastAsia="ro-RO" w:bidi="ne-NP"/>
        </w:rPr>
        <w:t>and the experience of the beneficiaries, constituting an important element in the analysis of the functioning of the implementation system of the Center PR.</w:t>
      </w:r>
    </w:p>
    <w:p w14:paraId="3ED76D69" w14:textId="28968E85" w:rsidR="00A420EC" w:rsidRPr="00A80EDE" w:rsidRDefault="0091600E" w:rsidP="00A80EDE">
      <w:pPr>
        <w:pStyle w:val="Style2"/>
        <w:numPr>
          <w:ilvl w:val="0"/>
          <w:numId w:val="33"/>
        </w:numPr>
        <w:suppressAutoHyphens/>
      </w:pPr>
      <w:r w:rsidRPr="00A80EDE">
        <w:rPr>
          <w:lang w:eastAsia="ro-RO" w:bidi="ne-NP"/>
        </w:rPr>
        <w:t xml:space="preserve">The results </w:t>
      </w:r>
      <w:r w:rsidRPr="00A80EDE">
        <w:rPr>
          <w:b/>
          <w:bCs/>
          <w:lang w:eastAsia="ro-RO" w:bidi="ne-NP"/>
        </w:rPr>
        <w:t>of the validation activities</w:t>
      </w:r>
      <w:r w:rsidRPr="00A80EDE">
        <w:rPr>
          <w:lang w:eastAsia="ro-RO" w:bidi="ne-NP"/>
        </w:rPr>
        <w:t xml:space="preserve"> confirm that the MySMIS platform is an essential tool for the traceability and control of administrative </w:t>
      </w:r>
      <w:r w:rsidR="0064166B" w:rsidRPr="00A80EDE">
        <w:rPr>
          <w:lang w:eastAsia="ro-RO" w:bidi="ne-NP"/>
        </w:rPr>
        <w:t>processes but</w:t>
      </w:r>
      <w:r w:rsidRPr="00A80EDE">
        <w:rPr>
          <w:lang w:eastAsia="ro-RO" w:bidi="ne-NP"/>
        </w:rPr>
        <w:t xml:space="preserve"> also highlight that </w:t>
      </w:r>
      <w:r w:rsidRPr="00A80EDE">
        <w:rPr>
          <w:b/>
          <w:bCs/>
          <w:lang w:eastAsia="ro-RO" w:bidi="ne-NP"/>
        </w:rPr>
        <w:t>the current digitalisation is procedural rather than strategic</w:t>
      </w:r>
      <w:r w:rsidRPr="00A80EDE">
        <w:rPr>
          <w:lang w:eastAsia="ro-RO" w:bidi="ne-NP"/>
        </w:rPr>
        <w:t>.</w:t>
      </w:r>
    </w:p>
    <w:p w14:paraId="698D3846" w14:textId="4D009BFA" w:rsidR="00A420EC" w:rsidRPr="00A80EDE" w:rsidRDefault="0091600E" w:rsidP="00A80EDE">
      <w:pPr>
        <w:pStyle w:val="Style2"/>
        <w:numPr>
          <w:ilvl w:val="0"/>
          <w:numId w:val="33"/>
        </w:numPr>
        <w:suppressAutoHyphens/>
      </w:pPr>
      <w:r w:rsidRPr="00A80EDE">
        <w:rPr>
          <w:lang w:eastAsia="ro-RO" w:bidi="ne-NP"/>
        </w:rPr>
        <w:lastRenderedPageBreak/>
        <w:t xml:space="preserve">The </w:t>
      </w:r>
      <w:r w:rsidR="00C369F9" w:rsidRPr="00A80EDE">
        <w:rPr>
          <w:lang w:eastAsia="ro-RO" w:bidi="ne-NP"/>
        </w:rPr>
        <w:t xml:space="preserve">AM </w:t>
      </w:r>
      <w:r w:rsidRPr="00A80EDE">
        <w:rPr>
          <w:lang w:eastAsia="ro-RO" w:bidi="ne-NP"/>
        </w:rPr>
        <w:t xml:space="preserve">representatives pointed out that, although the system facilitates the online submission of documents and the tracking of flows, </w:t>
      </w:r>
      <w:r w:rsidRPr="00A80EDE">
        <w:rPr>
          <w:b/>
          <w:bCs/>
          <w:lang w:eastAsia="ro-RO" w:bidi="ne-NP"/>
        </w:rPr>
        <w:t>the interoperability with other administrative platforms is reduced</w:t>
      </w:r>
      <w:r w:rsidRPr="00A80EDE">
        <w:rPr>
          <w:lang w:eastAsia="ro-RO" w:bidi="ne-NP"/>
        </w:rPr>
        <w:t>. The lack of interconnection with Treasury systems, SEAP or ACP and MIPE applications leads to duplication of operations and parallel records.</w:t>
      </w:r>
    </w:p>
    <w:p w14:paraId="69B4BB2E" w14:textId="46DA22B1" w:rsidR="00A420EC" w:rsidRPr="00A80EDE" w:rsidRDefault="0091600E" w:rsidP="00A80EDE">
      <w:pPr>
        <w:pStyle w:val="Style2"/>
        <w:numPr>
          <w:ilvl w:val="0"/>
          <w:numId w:val="33"/>
        </w:numPr>
        <w:suppressAutoHyphens/>
      </w:pPr>
      <w:r w:rsidRPr="00A80EDE">
        <w:rPr>
          <w:lang w:eastAsia="ro-RO" w:bidi="ne-NP"/>
        </w:rPr>
        <w:t xml:space="preserve">Both AM and ACP staff consider that MySMIS provides full document </w:t>
      </w:r>
      <w:r w:rsidR="0064166B" w:rsidRPr="00A80EDE">
        <w:rPr>
          <w:lang w:eastAsia="ro-RO" w:bidi="ne-NP"/>
        </w:rPr>
        <w:t>traceability but</w:t>
      </w:r>
      <w:r w:rsidRPr="00A80EDE">
        <w:rPr>
          <w:lang w:eastAsia="ro-RO" w:bidi="ne-NP"/>
        </w:rPr>
        <w:t xml:space="preserve"> lacks analytical functionalities to support programme performance monitoring and decision management. The platform is perceived as a compliance tool, not a strategic analysis tool.</w:t>
      </w:r>
    </w:p>
    <w:p w14:paraId="557DC72D" w14:textId="70F69B72" w:rsidR="00A420EC" w:rsidRPr="00A80EDE" w:rsidRDefault="0091600E" w:rsidP="00A80EDE">
      <w:pPr>
        <w:pStyle w:val="Style2"/>
        <w:numPr>
          <w:ilvl w:val="0"/>
          <w:numId w:val="33"/>
        </w:numPr>
        <w:suppressAutoHyphens/>
      </w:pPr>
      <w:r w:rsidRPr="00A80EDE">
        <w:rPr>
          <w:lang w:eastAsia="ro-RO" w:bidi="ne-NP"/>
        </w:rPr>
        <w:t xml:space="preserve">Beneficiaries and consultants also reported difficulties in use: the unintuitive interface, technical limitations on uploading documents and the lack of practical guidance for users. Especially for small </w:t>
      </w:r>
      <w:r w:rsidR="00F94785" w:rsidRPr="00A80EDE">
        <w:rPr>
          <w:lang w:eastAsia="ro-RO" w:bidi="ne-NP"/>
        </w:rPr>
        <w:t>UAT</w:t>
      </w:r>
      <w:r w:rsidRPr="00A80EDE">
        <w:rPr>
          <w:lang w:eastAsia="ro-RO" w:bidi="ne-NP"/>
        </w:rPr>
        <w:t>s and SMEs without experience, the complexity of the system reduces the efficiency of the implementation process.</w:t>
      </w:r>
    </w:p>
    <w:p w14:paraId="554EDFAA" w14:textId="77777777" w:rsidR="00A420EC" w:rsidRPr="00A80EDE" w:rsidRDefault="0091600E" w:rsidP="00A80EDE">
      <w:pPr>
        <w:pStyle w:val="Style2"/>
        <w:numPr>
          <w:ilvl w:val="0"/>
          <w:numId w:val="33"/>
        </w:numPr>
        <w:suppressAutoHyphens/>
        <w:rPr>
          <w:lang w:eastAsia="ro-RO" w:bidi="ne-NP"/>
        </w:rPr>
      </w:pPr>
      <w:r w:rsidRPr="00A80EDE">
        <w:rPr>
          <w:lang w:eastAsia="ro-RO" w:bidi="ne-NP"/>
        </w:rPr>
        <w:t>Validation participants made several proposals for improvement, including:</w:t>
      </w:r>
    </w:p>
    <w:p w14:paraId="4DE76030" w14:textId="31E92F17" w:rsidR="00A420EC" w:rsidRPr="00A80EDE" w:rsidRDefault="0091600E" w:rsidP="00A80EDE">
      <w:pPr>
        <w:pStyle w:val="Style2"/>
        <w:numPr>
          <w:ilvl w:val="0"/>
          <w:numId w:val="35"/>
        </w:numPr>
        <w:suppressAutoHyphens/>
      </w:pPr>
      <w:r w:rsidRPr="00A80EDE">
        <w:rPr>
          <w:lang w:eastAsia="ro-RO" w:bidi="ne-NP"/>
        </w:rPr>
        <w:t>developing automated data exchange interfaces between MySMIS and other national administrative systems;</w:t>
      </w:r>
    </w:p>
    <w:p w14:paraId="4061ECB3" w14:textId="77777777" w:rsidR="00A420EC" w:rsidRPr="00A80EDE" w:rsidRDefault="0091600E" w:rsidP="00A80EDE">
      <w:pPr>
        <w:pStyle w:val="Style2"/>
        <w:numPr>
          <w:ilvl w:val="0"/>
          <w:numId w:val="35"/>
        </w:numPr>
        <w:suppressAutoHyphens/>
      </w:pPr>
      <w:r w:rsidRPr="00A80EDE">
        <w:rPr>
          <w:lang w:eastAsia="ro-RO" w:bidi="ne-NP"/>
        </w:rPr>
        <w:t>the inclusion of an analytical module for performance reporting and analysis;</w:t>
      </w:r>
    </w:p>
    <w:p w14:paraId="07C27203" w14:textId="33AB3B14" w:rsidR="00A420EC" w:rsidRPr="00A80EDE" w:rsidRDefault="0091600E" w:rsidP="00A80EDE">
      <w:pPr>
        <w:pStyle w:val="Style2"/>
        <w:numPr>
          <w:ilvl w:val="0"/>
          <w:numId w:val="35"/>
        </w:numPr>
        <w:suppressAutoHyphens/>
      </w:pPr>
      <w:r w:rsidRPr="00A80EDE">
        <w:rPr>
          <w:lang w:eastAsia="ro-RO" w:bidi="ne-NP"/>
        </w:rPr>
        <w:t>developing practical guides and tutorials, adapted to the level of experience of the beneficiaries;</w:t>
      </w:r>
    </w:p>
    <w:p w14:paraId="499C8E8B" w14:textId="77777777" w:rsidR="00A420EC" w:rsidRPr="00A80EDE" w:rsidRDefault="0091600E" w:rsidP="00A80EDE">
      <w:pPr>
        <w:pStyle w:val="Style2"/>
        <w:numPr>
          <w:ilvl w:val="0"/>
          <w:numId w:val="35"/>
        </w:numPr>
        <w:suppressAutoHyphens/>
      </w:pPr>
      <w:r w:rsidRPr="00A80EDE">
        <w:rPr>
          <w:lang w:eastAsia="ro-RO" w:bidi="ne-NP"/>
        </w:rPr>
        <w:t>adapting the platform for decentralised workflows, corresponding to the status of regional MAs.</w:t>
      </w:r>
    </w:p>
    <w:p w14:paraId="16153FD8" w14:textId="5AA88CA1" w:rsidR="00A420EC" w:rsidRPr="00A80EDE" w:rsidRDefault="0091600E" w:rsidP="00A80EDE">
      <w:pPr>
        <w:pStyle w:val="Style2"/>
        <w:numPr>
          <w:ilvl w:val="0"/>
          <w:numId w:val="33"/>
        </w:numPr>
        <w:suppressAutoHyphens/>
      </w:pPr>
      <w:r w:rsidRPr="00A80EDE">
        <w:rPr>
          <w:lang w:eastAsia="ro-RO" w:bidi="ne-NP"/>
        </w:rPr>
        <w:t xml:space="preserve">Thus, the validation stage confirms that digitization has brought </w:t>
      </w:r>
      <w:r w:rsidR="0064166B" w:rsidRPr="00A80EDE">
        <w:rPr>
          <w:lang w:eastAsia="ro-RO" w:bidi="ne-NP"/>
        </w:rPr>
        <w:t>transparency but</w:t>
      </w:r>
      <w:r w:rsidRPr="00A80EDE">
        <w:rPr>
          <w:lang w:eastAsia="ro-RO" w:bidi="ne-NP"/>
        </w:rPr>
        <w:t xml:space="preserve"> still does not ensure simplification. MySMIS is an indispensable tool, but in order to really contribute to the efficiency of implementation, it is necessary to move from formal digitization to smart digitization, based on interoperability, data analysis and an organizational culture oriented towards the efficient use of digital tools. </w:t>
      </w:r>
    </w:p>
    <w:p w14:paraId="483EF0AC" w14:textId="0870088C" w:rsidR="00A420EC" w:rsidRPr="00A80EDE" w:rsidRDefault="00FD7B2A" w:rsidP="00A80EDE">
      <w:pPr>
        <w:pStyle w:val="Titlu2"/>
        <w:suppressAutoHyphens/>
        <w:rPr>
          <w:rFonts w:hint="eastAsia"/>
        </w:rPr>
      </w:pPr>
      <w:bookmarkStart w:id="25" w:name="_Toc207608291"/>
      <w:bookmarkStart w:id="26" w:name="_Toc216119115"/>
      <w:r w:rsidRPr="00A80EDE">
        <w:t>EQ5</w:t>
      </w:r>
      <w:r w:rsidR="0091600E" w:rsidRPr="00A80EDE">
        <w:t xml:space="preserve">. </w:t>
      </w:r>
      <w:r w:rsidR="0091600E" w:rsidRPr="00A80EDE">
        <w:rPr>
          <w:rFonts w:hint="eastAsia"/>
        </w:rPr>
        <w:t>To what extent</w:t>
      </w:r>
      <w:r w:rsidR="0091600E" w:rsidRPr="00A80EDE">
        <w:t xml:space="preserve"> do the existing operational procedures at the </w:t>
      </w:r>
      <w:r w:rsidR="00C369F9" w:rsidRPr="00A80EDE">
        <w:t xml:space="preserve">AM </w:t>
      </w:r>
      <w:r w:rsidR="0091600E" w:rsidRPr="00A80EDE">
        <w:t>level contribute to the administrative simplification and efficiency of the implementation of the PR Center, favo</w:t>
      </w:r>
      <w:r w:rsidR="00A80EDE">
        <w:t>u</w:t>
      </w:r>
      <w:r w:rsidR="0091600E" w:rsidRPr="00A80EDE">
        <w:t>ring an optimal absorption of funds?</w:t>
      </w:r>
      <w:bookmarkEnd w:id="25"/>
      <w:bookmarkEnd w:id="26"/>
    </w:p>
    <w:p w14:paraId="31A3E0F5" w14:textId="77777777" w:rsidR="00A420EC" w:rsidRPr="00A80EDE" w:rsidRDefault="0091600E" w:rsidP="00A80EDE">
      <w:pPr>
        <w:pStyle w:val="Titlu4"/>
        <w:suppressAutoHyphens/>
        <w:rPr>
          <w:rFonts w:eastAsia="Arial"/>
        </w:rPr>
      </w:pPr>
      <w:r w:rsidRPr="00A80EDE">
        <w:rPr>
          <w:rFonts w:eastAsia="Arial"/>
        </w:rPr>
        <w:t>Summary of findings</w:t>
      </w:r>
    </w:p>
    <w:p w14:paraId="76F9F51C" w14:textId="06F614B7" w:rsidR="00A420EC" w:rsidRPr="00A80EDE" w:rsidRDefault="0091600E" w:rsidP="00A80EDE">
      <w:pPr>
        <w:pStyle w:val="Style2"/>
        <w:numPr>
          <w:ilvl w:val="0"/>
          <w:numId w:val="33"/>
        </w:numPr>
        <w:suppressAutoHyphens/>
        <w:rPr>
          <w:lang w:eastAsia="ro-RO" w:bidi="ne-NP"/>
        </w:rPr>
      </w:pPr>
      <w:r w:rsidRPr="00A80EDE">
        <w:rPr>
          <w:lang w:eastAsia="ro-RO" w:bidi="ne-NP"/>
        </w:rPr>
        <w:t>The operational procedures of the AM PR Centre are well structured and ensure the uniform application of the rules, but their contribution to simplification and efficiency is only partial, due to the high volume of checks, the loaded grids and the divergent interpretations of the control institutions, elements that maintain a high administrative burden, preventing a fluid and results-oriented absorption.</w:t>
      </w:r>
    </w:p>
    <w:p w14:paraId="6E3D38C4" w14:textId="77777777" w:rsidR="00A420EC" w:rsidRPr="00A80EDE" w:rsidRDefault="0091600E" w:rsidP="00A80EDE">
      <w:pPr>
        <w:pStyle w:val="Style2"/>
        <w:numPr>
          <w:ilvl w:val="0"/>
          <w:numId w:val="33"/>
        </w:numPr>
        <w:suppressAutoHyphens/>
        <w:rPr>
          <w:lang w:eastAsia="ro-RO" w:bidi="ne-NP"/>
        </w:rPr>
      </w:pPr>
      <w:r w:rsidRPr="00A80EDE">
        <w:rPr>
          <w:lang w:eastAsia="ro-RO" w:bidi="ne-NP"/>
        </w:rPr>
        <w:t>The analysis shows that the current operational procedures of the AM PR Center are well formalized and fully cover the evaluation, contracting, monitoring and verification flows, contributing to the unitary application of the rules and the maintenance of procedural discipline.</w:t>
      </w:r>
    </w:p>
    <w:p w14:paraId="3DB7B250" w14:textId="078C9839" w:rsidR="00A420EC" w:rsidRPr="00A80EDE" w:rsidRDefault="004F57DD" w:rsidP="00A80EDE">
      <w:pPr>
        <w:pStyle w:val="Style2"/>
        <w:numPr>
          <w:ilvl w:val="0"/>
          <w:numId w:val="33"/>
        </w:numPr>
        <w:suppressAutoHyphens/>
        <w:rPr>
          <w:lang w:eastAsia="ro-RO" w:bidi="ne-NP"/>
        </w:rPr>
      </w:pPr>
      <w:r w:rsidRPr="00A80EDE">
        <w:rPr>
          <w:lang w:eastAsia="ro-RO" w:bidi="ne-NP"/>
        </w:rPr>
        <w:t xml:space="preserve">However, the overall implementation framework remains strongly oriented towards </w:t>
      </w:r>
      <w:r w:rsidR="0064166B" w:rsidRPr="00A80EDE">
        <w:rPr>
          <w:lang w:eastAsia="ro-RO" w:bidi="ne-NP"/>
        </w:rPr>
        <w:t>legal</w:t>
      </w:r>
      <w:r w:rsidRPr="00A80EDE">
        <w:rPr>
          <w:lang w:eastAsia="ro-RO" w:bidi="ne-NP"/>
        </w:rPr>
        <w:t xml:space="preserve"> control and verification of actual costs, resulting in a high volume of documentation, numerous clarifications and a considerable administrative burden for both MAs and beneficiaries.</w:t>
      </w:r>
    </w:p>
    <w:p w14:paraId="4B406B52" w14:textId="032E9BCA" w:rsidR="00A420EC" w:rsidRPr="00A80EDE" w:rsidRDefault="004F57DD" w:rsidP="00A80EDE">
      <w:pPr>
        <w:pStyle w:val="Style2"/>
        <w:numPr>
          <w:ilvl w:val="0"/>
          <w:numId w:val="33"/>
        </w:numPr>
        <w:suppressAutoHyphens/>
      </w:pPr>
      <w:r w:rsidRPr="00A80EDE">
        <w:rPr>
          <w:lang w:eastAsia="ro-RO" w:bidi="ne-NP"/>
        </w:rPr>
        <w:t xml:space="preserve">The procedures include some relevant improvements, such as the risk </w:t>
      </w:r>
      <w:r w:rsidR="00620B46" w:rsidRPr="00A80EDE">
        <w:rPr>
          <w:lang w:eastAsia="ro-RO" w:bidi="ne-NP"/>
        </w:rPr>
        <w:t>evaluation</w:t>
      </w:r>
      <w:r w:rsidRPr="00A80EDE">
        <w:rPr>
          <w:lang w:eastAsia="ro-RO" w:bidi="ne-NP"/>
        </w:rPr>
        <w:t xml:space="preserve"> score, monitoring plans or simplified cost options, but their impact is limited by prudent application, divergent interpretations by control institutions and the lack of a uniform implementation methodology. In practice, simplified costs, although designed as a simplification tool, are perceived as 'complicated costs' due to the risk of corrections and the lack of solid data for substantiation, leading to low and cautious use.</w:t>
      </w:r>
    </w:p>
    <w:p w14:paraId="016214D7" w14:textId="3FB66764" w:rsidR="00A420EC" w:rsidRPr="00A80EDE" w:rsidRDefault="0091600E" w:rsidP="00A80EDE">
      <w:pPr>
        <w:pStyle w:val="Style2"/>
        <w:numPr>
          <w:ilvl w:val="0"/>
          <w:numId w:val="33"/>
        </w:numPr>
        <w:suppressAutoHyphens/>
      </w:pPr>
      <w:r w:rsidRPr="00A80EDE">
        <w:rPr>
          <w:lang w:eastAsia="ro-RO" w:bidi="ne-NP"/>
        </w:rPr>
        <w:t xml:space="preserve">Interviews and surveys highlight that many clarifications in evaluation and contracting are determined by incomplete or non-compliant documentation, especially from SMEs and small </w:t>
      </w:r>
      <w:r w:rsidR="00F94785" w:rsidRPr="00A80EDE">
        <w:rPr>
          <w:lang w:eastAsia="ro-RO" w:bidi="ne-NP"/>
        </w:rPr>
        <w:t>UAT</w:t>
      </w:r>
      <w:r w:rsidRPr="00A80EDE">
        <w:rPr>
          <w:lang w:eastAsia="ro-RO" w:bidi="ne-NP"/>
        </w:rPr>
        <w:t xml:space="preserve">s, and the evaluation grids remain loaded with criteria that do not contribute significantly to the selection of impact projects, although they have been submitted to public consultation with the Applicant's Guide (GS),  they were discussed with the EC and in the CM and only then approved. This demonstrates that </w:t>
      </w:r>
      <w:r w:rsidRPr="00A80EDE">
        <w:rPr>
          <w:lang w:eastAsia="ro-RO" w:bidi="ne-NP"/>
        </w:rPr>
        <w:lastRenderedPageBreak/>
        <w:t>the simplification process can be blocked by previous experience, without seeing the possibility of change within the system.</w:t>
      </w:r>
    </w:p>
    <w:p w14:paraId="2AC62CBC" w14:textId="7DB123B8" w:rsidR="00A420EC" w:rsidRPr="00A80EDE" w:rsidRDefault="0091600E" w:rsidP="00A80EDE">
      <w:pPr>
        <w:pStyle w:val="Style2"/>
        <w:numPr>
          <w:ilvl w:val="0"/>
          <w:numId w:val="33"/>
        </w:numPr>
        <w:suppressAutoHyphens/>
        <w:rPr>
          <w:lang w:eastAsia="ro-RO" w:bidi="ne-NP"/>
        </w:rPr>
      </w:pPr>
      <w:r w:rsidRPr="00A80EDE">
        <w:rPr>
          <w:lang w:eastAsia="ro-RO" w:bidi="ne-NP"/>
        </w:rPr>
        <w:t xml:space="preserve">The beneficiaries and the MAs converge on the fact that, although digitization through MySMIS has accelerated some processes, the platform still does not offer sufficient functionalities for real simplification: lack of interoperability and reduced analytical capabilities, which maintains the focus on compliance, not efficiency. In addition, external factors, such as the rigidities in the public procurement legislation, the frequent challenge of procedures, the verification of eligibility at the end and the effects of GEO 23/2023 on deadlines, amplify the administrative burden and limit the </w:t>
      </w:r>
      <w:r w:rsidR="00C369F9" w:rsidRPr="00A80EDE">
        <w:rPr>
          <w:lang w:eastAsia="ro-RO" w:bidi="ne-NP"/>
        </w:rPr>
        <w:t xml:space="preserve">AM's </w:t>
      </w:r>
      <w:r w:rsidRPr="00A80EDE">
        <w:rPr>
          <w:lang w:eastAsia="ro-RO" w:bidi="ne-NP"/>
        </w:rPr>
        <w:t>ability to simplify processes.</w:t>
      </w:r>
    </w:p>
    <w:p w14:paraId="64805BB4" w14:textId="0FB456B6" w:rsidR="004F57DD" w:rsidRPr="00A80EDE" w:rsidRDefault="0091600E" w:rsidP="00A80EDE">
      <w:pPr>
        <w:pStyle w:val="Style2"/>
        <w:numPr>
          <w:ilvl w:val="0"/>
          <w:numId w:val="33"/>
        </w:numPr>
        <w:suppressAutoHyphens/>
        <w:rPr>
          <w:lang w:eastAsia="ro-RO" w:bidi="ne-NP"/>
        </w:rPr>
      </w:pPr>
      <w:r w:rsidRPr="00A80EDE">
        <w:t xml:space="preserve">The validation phase confirms that the </w:t>
      </w:r>
      <w:r w:rsidR="00C369F9" w:rsidRPr="00A80EDE">
        <w:t xml:space="preserve">AM </w:t>
      </w:r>
      <w:r w:rsidRPr="00A80EDE">
        <w:t xml:space="preserve">is making real efforts for simplification, but the results are partial because simplification does not depend exclusively on the </w:t>
      </w:r>
      <w:r w:rsidR="00C369F9" w:rsidRPr="00A80EDE">
        <w:t>AM</w:t>
      </w:r>
      <w:r w:rsidRPr="00A80EDE">
        <w:t xml:space="preserve">, but on the entire audit and control system. </w:t>
      </w:r>
    </w:p>
    <w:p w14:paraId="0FAEFDB8" w14:textId="44C45648" w:rsidR="00A420EC" w:rsidRPr="00A80EDE" w:rsidRDefault="0091600E" w:rsidP="00A80EDE">
      <w:pPr>
        <w:pStyle w:val="Style2"/>
        <w:numPr>
          <w:ilvl w:val="0"/>
          <w:numId w:val="33"/>
        </w:numPr>
        <w:suppressAutoHyphens/>
      </w:pPr>
      <w:r w:rsidRPr="00A80EDE">
        <w:t xml:space="preserve">Experts point out that simplification is blocked as long as supervisory institutions apply traditional approaches, and </w:t>
      </w:r>
      <w:r w:rsidR="00C369F9" w:rsidRPr="00A80EDE">
        <w:t xml:space="preserve">AM </w:t>
      </w:r>
      <w:r w:rsidRPr="00A80EDE">
        <w:t xml:space="preserve">procedures cannot be made more efficient unilaterally without broader inter-institutional alignment. Overall, </w:t>
      </w:r>
      <w:r w:rsidR="00C369F9" w:rsidRPr="00A80EDE">
        <w:t xml:space="preserve">AM </w:t>
      </w:r>
      <w:r w:rsidRPr="00A80EDE">
        <w:t>procedures partially contribute to streamlining the implementation and absorption of funds, but do not yet succeed in significantly reducing the bureaucracy perceived by beneficiaries, due to regulatory constraints, control culture and verification mechanisms predominantly oriented towards legality at the expense of performance.</w:t>
      </w:r>
    </w:p>
    <w:p w14:paraId="47483D85" w14:textId="2770F121" w:rsidR="00A420EC" w:rsidRPr="00A80EDE" w:rsidRDefault="0091600E" w:rsidP="00A80EDE">
      <w:pPr>
        <w:pStyle w:val="Style2"/>
        <w:numPr>
          <w:ilvl w:val="0"/>
          <w:numId w:val="33"/>
        </w:numPr>
        <w:suppressAutoHyphens/>
      </w:pPr>
      <w:r w:rsidRPr="00A80EDE">
        <w:rPr>
          <w:lang w:eastAsia="ro-RO"/>
        </w:rPr>
        <w:t xml:space="preserve">The analysis of the evaluation guides and grids identifies that the current selection system is subject to a </w:t>
      </w:r>
      <w:r w:rsidRPr="00A80EDE">
        <w:rPr>
          <w:rFonts w:eastAsia="Times New Roman"/>
          <w:lang w:eastAsia="ro-RO"/>
        </w:rPr>
        <w:t>disproportionate administrative burden</w:t>
      </w:r>
      <w:r w:rsidRPr="00A80EDE">
        <w:rPr>
          <w:lang w:eastAsia="ro-RO"/>
        </w:rPr>
        <w:t xml:space="preserve">, caused by </w:t>
      </w:r>
      <w:r w:rsidRPr="00A80EDE">
        <w:rPr>
          <w:rFonts w:eastAsia="Times New Roman"/>
          <w:lang w:eastAsia="ro-RO"/>
        </w:rPr>
        <w:t>redundant criteria, excessive formalism and lack of proportionality</w:t>
      </w:r>
      <w:r w:rsidRPr="00A80EDE">
        <w:rPr>
          <w:lang w:eastAsia="ro-RO"/>
        </w:rPr>
        <w:t xml:space="preserve">. For a genuine reform, an approach is needed that shifts the effort from the beneficiary to the technology: </w:t>
      </w:r>
      <w:r w:rsidRPr="00A80EDE">
        <w:rPr>
          <w:rFonts w:eastAsia="Times New Roman"/>
          <w:lang w:eastAsia="ro-RO"/>
        </w:rPr>
        <w:t>automation of the pre-calculation of statistical data</w:t>
      </w:r>
      <w:r w:rsidRPr="00A80EDE">
        <w:rPr>
          <w:lang w:eastAsia="ro-RO"/>
        </w:rPr>
        <w:t xml:space="preserve"> (transformation into "UAT Profile / Call"), </w:t>
      </w:r>
      <w:r w:rsidRPr="00A80EDE">
        <w:rPr>
          <w:rFonts w:eastAsia="Times New Roman"/>
          <w:lang w:eastAsia="ro-RO"/>
        </w:rPr>
        <w:t>elimination of non-value-added criteria</w:t>
      </w:r>
      <w:r w:rsidRPr="00A80EDE">
        <w:rPr>
          <w:lang w:eastAsia="ro-RO"/>
        </w:rPr>
        <w:t xml:space="preserve"> (move to the compliance area) </w:t>
      </w:r>
      <w:r w:rsidR="0064166B" w:rsidRPr="00A80EDE">
        <w:rPr>
          <w:lang w:eastAsia="ro-RO"/>
        </w:rPr>
        <w:t xml:space="preserve">and </w:t>
      </w:r>
      <w:r w:rsidR="0064166B" w:rsidRPr="00A80EDE">
        <w:rPr>
          <w:rFonts w:eastAsia="Times New Roman"/>
          <w:lang w:eastAsia="ro-RO"/>
        </w:rPr>
        <w:t>functional</w:t>
      </w:r>
      <w:r w:rsidRPr="00A80EDE">
        <w:rPr>
          <w:rFonts w:eastAsia="Times New Roman"/>
          <w:lang w:eastAsia="ro-RO"/>
        </w:rPr>
        <w:t xml:space="preserve"> digitization</w:t>
      </w:r>
      <w:r w:rsidRPr="00A80EDE">
        <w:rPr>
          <w:lang w:eastAsia="ro-RO"/>
        </w:rPr>
        <w:t xml:space="preserve"> that clearly separates automatic evaluation from professional judgment. At the same time, </w:t>
      </w:r>
      <w:r w:rsidRPr="00A80EDE">
        <w:rPr>
          <w:rFonts w:eastAsia="Times New Roman"/>
          <w:lang w:eastAsia="ro-RO"/>
        </w:rPr>
        <w:t>the application of proportionality</w:t>
      </w:r>
      <w:r w:rsidRPr="00A80EDE">
        <w:rPr>
          <w:lang w:eastAsia="ro-RO"/>
        </w:rPr>
        <w:t xml:space="preserve"> and </w:t>
      </w:r>
      <w:r w:rsidRPr="00A80EDE">
        <w:rPr>
          <w:rFonts w:eastAsia="Times New Roman"/>
          <w:lang w:eastAsia="ro-RO"/>
        </w:rPr>
        <w:t>the introduction of ranges/tolerances</w:t>
      </w:r>
      <w:r w:rsidRPr="00A80EDE">
        <w:rPr>
          <w:lang w:eastAsia="ro-RO"/>
        </w:rPr>
        <w:t xml:space="preserve"> (instead of rigid thresholds or eliminatory criteria) are essential to ensure fair treatment of small beneficiaries and to increase flexibility in implementation.</w:t>
      </w:r>
    </w:p>
    <w:p w14:paraId="21BEA081" w14:textId="77777777" w:rsidR="00A420EC" w:rsidRPr="00A80EDE" w:rsidRDefault="0091600E" w:rsidP="00A80EDE">
      <w:pPr>
        <w:pStyle w:val="Titlu4"/>
        <w:suppressAutoHyphens/>
        <w:rPr>
          <w:rFonts w:eastAsia="MS Mincho"/>
          <w:lang w:eastAsia="ro-RO" w:bidi="ne-NP"/>
        </w:rPr>
      </w:pPr>
      <w:r w:rsidRPr="00A80EDE">
        <w:rPr>
          <w:rFonts w:eastAsia="MS Mincho"/>
          <w:lang w:eastAsia="ro-RO" w:bidi="ne-NP"/>
        </w:rPr>
        <w:t>5.1. Operational efficiency, performance of the Programme</w:t>
      </w:r>
    </w:p>
    <w:p w14:paraId="5179261F" w14:textId="3B404721" w:rsidR="00A420EC" w:rsidRPr="00A80EDE" w:rsidRDefault="0091600E" w:rsidP="00A80EDE">
      <w:pPr>
        <w:pStyle w:val="Style2"/>
        <w:numPr>
          <w:ilvl w:val="0"/>
          <w:numId w:val="33"/>
        </w:numPr>
        <w:suppressAutoHyphens/>
        <w:rPr>
          <w:lang w:eastAsia="ro-RO" w:bidi="ne-NP"/>
        </w:rPr>
      </w:pPr>
      <w:r w:rsidRPr="00A80EDE">
        <w:rPr>
          <w:lang w:eastAsia="ro-RO" w:bidi="ne-NP"/>
        </w:rPr>
        <w:t xml:space="preserve">Currently, implementation systems based on verification of actual costs bring clear benefits in terms of the legality and compliance of the use of </w:t>
      </w:r>
      <w:r w:rsidR="0064166B" w:rsidRPr="00A80EDE">
        <w:rPr>
          <w:lang w:eastAsia="ro-RO" w:bidi="ne-NP"/>
        </w:rPr>
        <w:t>funds but</w:t>
      </w:r>
      <w:r w:rsidRPr="00A80EDE">
        <w:rPr>
          <w:lang w:eastAsia="ro-RO" w:bidi="ne-NP"/>
        </w:rPr>
        <w:t xml:space="preserve"> also generate significant disadvantages: high administrative costs for MAs and beneficiaries, as well as a reduced focus on the results achieved. </w:t>
      </w:r>
    </w:p>
    <w:p w14:paraId="2FB85A97" w14:textId="3B2EE07F" w:rsidR="00A420EC" w:rsidRPr="00A80EDE" w:rsidRDefault="0091600E" w:rsidP="00A80EDE">
      <w:pPr>
        <w:pStyle w:val="Style2"/>
        <w:numPr>
          <w:ilvl w:val="0"/>
          <w:numId w:val="33"/>
        </w:numPr>
        <w:suppressAutoHyphens/>
      </w:pPr>
      <w:r w:rsidRPr="00A80EDE">
        <w:rPr>
          <w:lang w:eastAsia="ro-RO" w:bidi="ne-NP"/>
        </w:rPr>
        <w:t xml:space="preserve">In contrast, results-oriented systems simplify administrative management and boost the effectiveness of </w:t>
      </w:r>
      <w:r w:rsidR="0064166B" w:rsidRPr="00A80EDE">
        <w:rPr>
          <w:lang w:eastAsia="ro-RO" w:bidi="ne-NP"/>
        </w:rPr>
        <w:t>programmes but</w:t>
      </w:r>
      <w:r w:rsidRPr="00A80EDE">
        <w:rPr>
          <w:lang w:eastAsia="ro-RO" w:bidi="ne-NP"/>
        </w:rPr>
        <w:t xml:space="preserve"> require a trade-off on strict legality control and the acceptance of risks. These risks relate to the misuse of funds, misreporting of progress or insufficiently clear definition of indicators, and are the responsibility of both the </w:t>
      </w:r>
      <w:r w:rsidR="00C369F9" w:rsidRPr="00A80EDE">
        <w:rPr>
          <w:lang w:eastAsia="ro-RO" w:bidi="ne-NP"/>
        </w:rPr>
        <w:t xml:space="preserve">AM </w:t>
      </w:r>
      <w:r w:rsidRPr="00A80EDE">
        <w:rPr>
          <w:lang w:eastAsia="ro-RO" w:bidi="ne-NP"/>
        </w:rPr>
        <w:t>and the audit and control institutions that need to set tolerance thresholds and proportionate verification mechanisms. In this context, the major challenge is to find a balance between maintaining financial discipline and focusing on the effectiveness of the programme, by combining more simplified legality checks with close monitoring of results.</w:t>
      </w:r>
    </w:p>
    <w:p w14:paraId="4E7818D7" w14:textId="106747E6" w:rsidR="00A420EC" w:rsidRPr="00A80EDE" w:rsidRDefault="0091600E" w:rsidP="00A80EDE">
      <w:pPr>
        <w:pStyle w:val="Style2"/>
        <w:numPr>
          <w:ilvl w:val="0"/>
          <w:numId w:val="33"/>
        </w:numPr>
        <w:suppressAutoHyphens/>
      </w:pPr>
      <w:r w:rsidRPr="00A80EDE">
        <w:t xml:space="preserve">The PRC implementation system is built on the systems created in previous programming periods and are based on the verification of real costs, systems strongly oriented towards legality and inputs. It is thus found that most of the administrative burden comes from the regulatory framework, procedures and systems that are not related to the </w:t>
      </w:r>
      <w:r w:rsidR="00C369F9" w:rsidRPr="00A80EDE">
        <w:t xml:space="preserve">AM </w:t>
      </w:r>
      <w:r w:rsidRPr="00A80EDE">
        <w:t>as will be exemplified below as opinions shared in interviews.</w:t>
      </w:r>
    </w:p>
    <w:p w14:paraId="705DBC9B" w14:textId="71579580" w:rsidR="00A420EC" w:rsidRPr="00A80EDE" w:rsidRDefault="0091600E" w:rsidP="00A80EDE">
      <w:pPr>
        <w:pStyle w:val="Style2"/>
        <w:numPr>
          <w:ilvl w:val="0"/>
          <w:numId w:val="33"/>
        </w:numPr>
        <w:suppressAutoHyphens/>
      </w:pPr>
      <w:r w:rsidRPr="00A80EDE">
        <w:rPr>
          <w:color w:val="0070C0"/>
        </w:rPr>
        <w:t xml:space="preserve">The documentary analysis </w:t>
      </w:r>
      <w:r w:rsidRPr="00A80EDE">
        <w:t xml:space="preserve">shows that the </w:t>
      </w:r>
      <w:r w:rsidR="00C369F9" w:rsidRPr="00A80EDE">
        <w:t xml:space="preserve">AM </w:t>
      </w:r>
      <w:r w:rsidRPr="00A80EDE">
        <w:t xml:space="preserve">PR Center has a detailed procedural framework, with 23 operational procedures at </w:t>
      </w:r>
      <w:r w:rsidR="00C369F9" w:rsidRPr="00A80EDE">
        <w:t xml:space="preserve">AM </w:t>
      </w:r>
      <w:r w:rsidRPr="00A80EDE">
        <w:t>level and one procedure at SIFE IO level, covering major flows (evaluation, contracting, monitoring, verification, payments) and a formalized performance management system, which aims at the uniform application of the rules and compliance with deadlines.</w:t>
      </w:r>
    </w:p>
    <w:p w14:paraId="5719719B" w14:textId="480F37F3" w:rsidR="00A420EC" w:rsidRPr="00A80EDE" w:rsidRDefault="0091600E" w:rsidP="00A80EDE">
      <w:pPr>
        <w:pStyle w:val="Style2"/>
        <w:numPr>
          <w:ilvl w:val="0"/>
          <w:numId w:val="33"/>
        </w:numPr>
        <w:suppressAutoHyphens/>
      </w:pPr>
      <w:r w:rsidRPr="00A80EDE">
        <w:t xml:space="preserve">In </w:t>
      </w:r>
      <w:r w:rsidRPr="00A80EDE">
        <w:rPr>
          <w:color w:val="0070C0"/>
        </w:rPr>
        <w:t xml:space="preserve">the interviews with the </w:t>
      </w:r>
      <w:r w:rsidR="00C369F9" w:rsidRPr="00A80EDE">
        <w:rPr>
          <w:color w:val="0070C0"/>
        </w:rPr>
        <w:t xml:space="preserve">AM </w:t>
      </w:r>
      <w:r w:rsidR="0064166B" w:rsidRPr="00A80EDE">
        <w:rPr>
          <w:color w:val="0070C0"/>
        </w:rPr>
        <w:t>staff</w:t>
      </w:r>
      <w:r w:rsidR="0064166B" w:rsidRPr="00A80EDE">
        <w:t>,</w:t>
      </w:r>
      <w:r w:rsidRPr="00A80EDE">
        <w:t xml:space="preserve"> the high number of clarifications and corrections requested </w:t>
      </w:r>
      <w:r w:rsidR="005E0119" w:rsidRPr="00A80EDE">
        <w:t>by</w:t>
      </w:r>
      <w:r w:rsidRPr="00A80EDE">
        <w:t xml:space="preserve"> the beneficiaries in the eligibility phase was mentioned, especially for projects submitted by SMEs </w:t>
      </w:r>
      <w:r w:rsidRPr="00A80EDE">
        <w:lastRenderedPageBreak/>
        <w:t xml:space="preserve">and small </w:t>
      </w:r>
      <w:r w:rsidR="00F94785" w:rsidRPr="00A80EDE">
        <w:t>UAT</w:t>
      </w:r>
      <w:r w:rsidRPr="00A80EDE">
        <w:t xml:space="preserve">s, where the documentation is frequently incomplete or not adapted to the requirements of the guides. This situation is confirmed by the beneficiaries, who describe the evaluation and contracting process as being loaded with clarifications, </w:t>
      </w:r>
      <w:r w:rsidR="0064166B" w:rsidRPr="00A80EDE">
        <w:t>including</w:t>
      </w:r>
      <w:r w:rsidRPr="00A80EDE">
        <w:t xml:space="preserve"> minor details. The analysis reveals that project evaluation grids continue to be (as in previous periods) loaded with criteria that do not contribute to the selection of the most effective and impactful projects and there is substantial room for simplification. The interoperability of the databases, the functionalities of MySMIS have not progressed sufficiently in order to support the efficiency of the implementation of the program. </w:t>
      </w:r>
    </w:p>
    <w:p w14:paraId="06282559" w14:textId="0AE6C4CD" w:rsidR="00A420EC" w:rsidRPr="00A80EDE" w:rsidRDefault="0091600E" w:rsidP="00A80EDE">
      <w:pPr>
        <w:pStyle w:val="Style2"/>
        <w:numPr>
          <w:ilvl w:val="0"/>
          <w:numId w:val="33"/>
        </w:numPr>
        <w:suppressAutoHyphens/>
      </w:pPr>
      <w:r w:rsidRPr="00A80EDE">
        <w:t xml:space="preserve">The evaluation notes many positive aspects and the MA's interest in increasing efficiency even in this approach. One example is the simplification of verification based on risk </w:t>
      </w:r>
      <w:r w:rsidR="00620B46" w:rsidRPr="00A80EDE">
        <w:t>evaluation</w:t>
      </w:r>
      <w:r w:rsidRPr="00A80EDE">
        <w:t xml:space="preserve">. The </w:t>
      </w:r>
      <w:r w:rsidRPr="00A80EDE">
        <w:rPr>
          <w:i/>
          <w:iCs/>
        </w:rPr>
        <w:t xml:space="preserve">Risk </w:t>
      </w:r>
      <w:r w:rsidR="00620B46" w:rsidRPr="00A80EDE">
        <w:rPr>
          <w:i/>
          <w:iCs/>
        </w:rPr>
        <w:t>Evaluation</w:t>
      </w:r>
      <w:r w:rsidRPr="00A80EDE">
        <w:rPr>
          <w:i/>
          <w:iCs/>
        </w:rPr>
        <w:t xml:space="preserve"> </w:t>
      </w:r>
      <w:r w:rsidR="0064166B" w:rsidRPr="00A80EDE">
        <w:rPr>
          <w:i/>
          <w:iCs/>
        </w:rPr>
        <w:t>Note</w:t>
      </w:r>
      <w:r w:rsidR="0064166B" w:rsidRPr="00A80EDE">
        <w:rPr>
          <w:i/>
        </w:rPr>
        <w:t xml:space="preserve"> </w:t>
      </w:r>
      <w:r w:rsidR="0064166B" w:rsidRPr="00A80EDE">
        <w:t>has</w:t>
      </w:r>
      <w:r w:rsidRPr="00A80EDE">
        <w:t xml:space="preserve"> been introduced, which makes it possible to differentiate between simplified checks and full checks. This is perceived as a useful </w:t>
      </w:r>
      <w:r w:rsidR="0064166B" w:rsidRPr="00A80EDE">
        <w:t>change but</w:t>
      </w:r>
      <w:r w:rsidRPr="00A80EDE">
        <w:t xml:space="preserve"> applied with caution. Likewise, the introduction of monitoring plans represents a major procedural change, meant to discipline implementation by establishing milestones correlated with sanctions, the application being however flexible to avoid unjustified penalties.</w:t>
      </w:r>
    </w:p>
    <w:p w14:paraId="4D2D793C" w14:textId="77777777" w:rsidR="00A420EC" w:rsidRPr="00A80EDE" w:rsidRDefault="0091600E" w:rsidP="00A80EDE">
      <w:pPr>
        <w:pStyle w:val="Titlu4"/>
        <w:suppressAutoHyphens/>
        <w:rPr>
          <w:lang w:bidi="ne-NP"/>
        </w:rPr>
      </w:pPr>
      <w:r w:rsidRPr="00A80EDE">
        <w:rPr>
          <w:lang w:bidi="ne-NP"/>
        </w:rPr>
        <w:t>5.2. Simplification measures</w:t>
      </w:r>
    </w:p>
    <w:p w14:paraId="6490CB96" w14:textId="0AE24736" w:rsidR="00A420EC" w:rsidRPr="00A80EDE" w:rsidRDefault="0091600E" w:rsidP="00A80EDE">
      <w:pPr>
        <w:pStyle w:val="Style2"/>
        <w:numPr>
          <w:ilvl w:val="0"/>
          <w:numId w:val="33"/>
        </w:numPr>
        <w:suppressAutoHyphens/>
      </w:pPr>
      <w:r w:rsidRPr="00A80EDE">
        <w:t xml:space="preserve">The </w:t>
      </w:r>
      <w:r w:rsidR="00C369F9" w:rsidRPr="00A80EDE">
        <w:t xml:space="preserve">AM </w:t>
      </w:r>
      <w:r w:rsidRPr="00A80EDE">
        <w:t xml:space="preserve">introduced Simplified Costs Options (SCO), considered a measure that reduces the volume of supporting documents, and the budget structure in MySMIS has been simplified, moving from detailed estimate lines to large categories of expenditure (works, endowments, related activities), which reduces the number of addenda and facilitates the tracking of execution. </w:t>
      </w:r>
    </w:p>
    <w:p w14:paraId="21DF1CB3" w14:textId="25D2A59B" w:rsidR="00A420EC" w:rsidRPr="00A80EDE" w:rsidRDefault="0091600E" w:rsidP="00A80EDE">
      <w:pPr>
        <w:pStyle w:val="Style2"/>
        <w:numPr>
          <w:ilvl w:val="0"/>
          <w:numId w:val="33"/>
        </w:numPr>
        <w:suppressAutoHyphens/>
      </w:pPr>
      <w:r w:rsidRPr="00A80EDE">
        <w:t xml:space="preserve">Experience with the application of the SCO shows that, although the instrument is appreciated for its potential to reduce bureaucracy, in practice implementation remains limited due to negative experiences in other programmes when divergent interpretations of control institutions and </w:t>
      </w:r>
      <w:r w:rsidR="00C369F9" w:rsidRPr="00A80EDE">
        <w:t xml:space="preserve">AM </w:t>
      </w:r>
      <w:r w:rsidRPr="00A80EDE">
        <w:t>have led to penalties. These difficulties have generated reluctance, cautious application and fears about the risk of corrections, confirming that the success of the SCO depends more on changing institutional mindsets and coherence between actors than on the technical details of the instrument.</w:t>
      </w:r>
    </w:p>
    <w:p w14:paraId="075CC564" w14:textId="1FD3BD16" w:rsidR="00A420EC" w:rsidRPr="00A80EDE" w:rsidRDefault="0091600E" w:rsidP="00A80EDE">
      <w:pPr>
        <w:pStyle w:val="Style2"/>
        <w:numPr>
          <w:ilvl w:val="0"/>
          <w:numId w:val="33"/>
        </w:numPr>
        <w:suppressAutoHyphens/>
      </w:pPr>
      <w:r w:rsidRPr="00A80EDE">
        <w:t xml:space="preserve">Regarding the application of the procedures, the </w:t>
      </w:r>
      <w:r w:rsidR="00C369F9" w:rsidRPr="00A80EDE">
        <w:t xml:space="preserve">AM </w:t>
      </w:r>
      <w:r w:rsidRPr="00A80EDE">
        <w:t>staff underlined the effort of progressive adjustment and standardization through internal training and exchanges.</w:t>
      </w:r>
    </w:p>
    <w:p w14:paraId="0D0D2FF3" w14:textId="1909C40B" w:rsidR="00A420EC" w:rsidRPr="00A80EDE" w:rsidRDefault="0091600E" w:rsidP="00A80EDE">
      <w:pPr>
        <w:pStyle w:val="Style2"/>
        <w:numPr>
          <w:ilvl w:val="0"/>
          <w:numId w:val="33"/>
        </w:numPr>
        <w:suppressAutoHyphens/>
      </w:pPr>
      <w:r w:rsidRPr="00A80EDE">
        <w:t xml:space="preserve">The </w:t>
      </w:r>
      <w:r w:rsidR="00C369F9" w:rsidRPr="00A80EDE">
        <w:t xml:space="preserve">AM </w:t>
      </w:r>
      <w:r w:rsidRPr="00A80EDE">
        <w:t xml:space="preserve">staff </w:t>
      </w:r>
      <w:r w:rsidR="0064166B" w:rsidRPr="00A80EDE">
        <w:t>were</w:t>
      </w:r>
      <w:r w:rsidRPr="00A80EDE">
        <w:t xml:space="preserve"> invited in </w:t>
      </w:r>
      <w:r w:rsidRPr="00A80EDE">
        <w:rPr>
          <w:color w:val="0070C0"/>
        </w:rPr>
        <w:t xml:space="preserve">the survey </w:t>
      </w:r>
      <w:r w:rsidRPr="00A80EDE">
        <w:t xml:space="preserve">to answer an open-ended question on the aspects of the current procedures that need improvement to facilitate the implementation of the programme. The results reflect a balanced perception. On the one hand, it is </w:t>
      </w:r>
      <w:r w:rsidR="0064166B" w:rsidRPr="00A80EDE">
        <w:t>recognized</w:t>
      </w:r>
      <w:r w:rsidRPr="00A80EDE">
        <w:t xml:space="preserve"> that the current procedures contribute substantially to the efficient absorption of funds and that some necessary adjustments 'have already been made'. On the other hand, specific areas of complexity or rigidity are identified that could be optimized. Both management and enforcement staff converge in </w:t>
      </w:r>
      <w:r w:rsidR="0064166B" w:rsidRPr="00A80EDE">
        <w:t>signaling</w:t>
      </w:r>
      <w:r w:rsidRPr="00A80EDE">
        <w:t xml:space="preserve"> the need for simplification where possible, in particular </w:t>
      </w:r>
      <w:r w:rsidR="0064166B" w:rsidRPr="00A80EDE">
        <w:t>in terms</w:t>
      </w:r>
      <w:r w:rsidRPr="00A80EDE">
        <w:t xml:space="preserve"> of </w:t>
      </w:r>
      <w:r w:rsidRPr="00A80EDE">
        <w:rPr>
          <w:b/>
          <w:bCs/>
        </w:rPr>
        <w:t>checks, the volume of documents required and the clarity of work deadlines.</w:t>
      </w:r>
      <w:r w:rsidRPr="00A80EDE">
        <w:t xml:space="preserve"> The importance of correlating procedures with MySMIS functionalities and adapting flows to the new types of activities in the 2021–2027 period is also underlined.</w:t>
      </w:r>
    </w:p>
    <w:p w14:paraId="4DF52D9B" w14:textId="6F07E817" w:rsidR="00A420EC" w:rsidRPr="00A80EDE" w:rsidRDefault="0091600E" w:rsidP="00A80EDE">
      <w:pPr>
        <w:pStyle w:val="Style2"/>
        <w:numPr>
          <w:ilvl w:val="0"/>
          <w:numId w:val="33"/>
        </w:numPr>
        <w:suppressAutoHyphens/>
      </w:pPr>
      <w:r w:rsidRPr="00A80EDE">
        <w:t xml:space="preserve">The AM staff provide in </w:t>
      </w:r>
      <w:r w:rsidRPr="00A80EDE">
        <w:rPr>
          <w:color w:val="0070C0"/>
        </w:rPr>
        <w:t xml:space="preserve">interviews </w:t>
      </w:r>
      <w:r w:rsidRPr="00A80EDE">
        <w:t>a set of observations on the evaluation and implementation processes, first of all highlighting the need for realistic adjustment of the work deadlines so that they reflect the volume and complexity of the activities. Although digitization has brought a significant improvement, especially by submitting documents in MySMIS, the interviewees point out that there are still redundancies and elements that could be automated, such as the completion of certain auxiliary documents. At the same time, carrying out the eligibility check after the technical evaluation leads to situations in which projects with high scores end up being rejected later for eligibility.</w:t>
      </w:r>
    </w:p>
    <w:p w14:paraId="51E37337" w14:textId="77777777" w:rsidR="00A420EC" w:rsidRPr="00A80EDE" w:rsidRDefault="0091600E" w:rsidP="00A80EDE">
      <w:pPr>
        <w:pStyle w:val="Style2"/>
        <w:numPr>
          <w:ilvl w:val="0"/>
          <w:numId w:val="33"/>
        </w:numPr>
        <w:suppressAutoHyphens/>
      </w:pPr>
      <w:r w:rsidRPr="00A80EDE">
        <w:t>The amendments introduced by GEO no. 23/2023 are perceived as adding complexity instead of simplifying, the interviewees considering the five-day deadline allocated to the start of the eligibility and contracting stages unrealistic in the case of managing a large number of projects. Finally, they stress the need to strike a balance between procedural requirements and the flexibility granted to beneficiaries, while expressing reservations about over-tolerance, especially in the case of public beneficiaries.</w:t>
      </w:r>
    </w:p>
    <w:p w14:paraId="1DC7F201" w14:textId="15F628D1" w:rsidR="00A420EC" w:rsidRPr="00A80EDE" w:rsidRDefault="0091600E" w:rsidP="00A80EDE">
      <w:pPr>
        <w:pStyle w:val="Style2"/>
        <w:numPr>
          <w:ilvl w:val="0"/>
          <w:numId w:val="33"/>
        </w:numPr>
        <w:suppressAutoHyphens/>
      </w:pPr>
      <w:r w:rsidRPr="00A80EDE">
        <w:lastRenderedPageBreak/>
        <w:t xml:space="preserve">The analysis highlighted two types of findings: aspects related to the activity of AM PR Center and aspects related to </w:t>
      </w:r>
      <w:r w:rsidR="00265A17" w:rsidRPr="00A80EDE">
        <w:t>AM.</w:t>
      </w:r>
      <w:r w:rsidRPr="00A80EDE">
        <w:t xml:space="preserve"> </w:t>
      </w:r>
      <w:r w:rsidRPr="00A80EDE">
        <w:rPr>
          <w:b/>
        </w:rPr>
        <w:t xml:space="preserve">At the </w:t>
      </w:r>
      <w:r w:rsidR="004814F3" w:rsidRPr="00A80EDE">
        <w:rPr>
          <w:b/>
        </w:rPr>
        <w:t xml:space="preserve">AM </w:t>
      </w:r>
      <w:r w:rsidRPr="00A80EDE">
        <w:rPr>
          <w:b/>
        </w:rPr>
        <w:t>level</w:t>
      </w:r>
      <w:r w:rsidRPr="00A80EDE">
        <w:t xml:space="preserve">, there is a detailed procedural framework, but the evaluation and contracting process involves many clarifications. New tools such as risk rating, monitoring plans and simplified costs are appreciated, but sometimes considered rigid. </w:t>
      </w:r>
    </w:p>
    <w:p w14:paraId="1A9BCEDB" w14:textId="18BF9C86" w:rsidR="00A420EC" w:rsidRPr="00A80EDE" w:rsidRDefault="0091600E" w:rsidP="00A80EDE">
      <w:pPr>
        <w:pStyle w:val="Style2"/>
        <w:numPr>
          <w:ilvl w:val="0"/>
          <w:numId w:val="33"/>
        </w:numPr>
        <w:suppressAutoHyphens/>
      </w:pPr>
      <w:r w:rsidRPr="00A80EDE">
        <w:rPr>
          <w:lang w:eastAsia="ro-RO"/>
        </w:rPr>
        <w:t xml:space="preserve">The analysis of the evaluation guides and grids (Annex 1.4.3.) identifies </w:t>
      </w:r>
      <w:r w:rsidRPr="00A80EDE">
        <w:rPr>
          <w:rFonts w:eastAsia="Times New Roman"/>
          <w:b/>
          <w:bCs/>
          <w:lang w:eastAsia="ro-RO"/>
        </w:rPr>
        <w:t>four aspects that can lead to significant simplification in the evaluation and selection process</w:t>
      </w:r>
      <w:r w:rsidRPr="00A80EDE">
        <w:rPr>
          <w:lang w:eastAsia="ro-RO"/>
        </w:rPr>
        <w:t xml:space="preserve">. The current selection system is subject to an administrative burden caused by redundant criteria, excessive formalism and lack of proportionality. For authentic simplification, a reform is needed that shifts the effort from the beneficiary to technology: the automation of the pre-calculation of statistical data, the elimination of non-value-added criteria from the grids and functional digitalization that clearly separates automatic evaluation from professional judgment. At the same time, the application of proportionality and the introduction of ranges/tolerances are essential to ensure fair treatment of small beneficiaries and to increase flexibility in the implementation phase. </w:t>
      </w:r>
    </w:p>
    <w:p w14:paraId="665B6DC4" w14:textId="70BD2C82" w:rsidR="00A420EC" w:rsidRPr="00A80EDE" w:rsidRDefault="000305F4" w:rsidP="00A80EDE">
      <w:pPr>
        <w:pStyle w:val="Style2"/>
        <w:numPr>
          <w:ilvl w:val="0"/>
          <w:numId w:val="33"/>
        </w:numPr>
        <w:suppressAutoHyphens/>
      </w:pPr>
      <w:r w:rsidRPr="00A80EDE">
        <w:rPr>
          <w:lang w:eastAsia="ro-RO"/>
        </w:rPr>
        <w:t>The selection system is at a point where its efficiency depends on the orientation towards automation, rationalization and proportionality, with a natural shift of focus from procedural compliance to results.</w:t>
      </w:r>
    </w:p>
    <w:p w14:paraId="429254AA" w14:textId="1D039BC1" w:rsidR="00B018D2" w:rsidRPr="00A80EDE" w:rsidRDefault="00B018D2" w:rsidP="00A80EDE">
      <w:pPr>
        <w:pStyle w:val="Numparagraphnormal"/>
        <w:suppressAutoHyphens/>
        <w:ind w:left="720"/>
      </w:pPr>
      <w:r w:rsidRPr="00A80EDE">
        <w:t>The models identified in practice show the following patterns:</w:t>
      </w:r>
    </w:p>
    <w:p w14:paraId="02C6C9D0" w14:textId="4C332CD0" w:rsidR="00B018D2" w:rsidRPr="00A80EDE" w:rsidRDefault="00B018D2" w:rsidP="00A80EDE">
      <w:pPr>
        <w:pStyle w:val="Numparagraphnormal"/>
        <w:numPr>
          <w:ilvl w:val="0"/>
          <w:numId w:val="36"/>
        </w:numPr>
        <w:tabs>
          <w:tab w:val="num" w:pos="1080"/>
        </w:tabs>
        <w:suppressAutoHyphens/>
        <w:ind w:left="1080"/>
      </w:pPr>
      <w:r w:rsidRPr="00A80EDE">
        <w:rPr>
          <w:b/>
          <w:bCs/>
        </w:rPr>
        <w:t>Criteria based on standard statistical indicators</w:t>
      </w:r>
      <w:r w:rsidRPr="00A80EDE">
        <w:t xml:space="preserve"> (e.g. demographic pressure, population served, INS data), recurring for all projects, naturally lend themselves to pre-calculation at call level and to automatic application in the form of "UAT/call profiles".</w:t>
      </w:r>
    </w:p>
    <w:p w14:paraId="1F38F20D" w14:textId="77777777" w:rsidR="00B018D2" w:rsidRPr="00A80EDE" w:rsidRDefault="00B018D2" w:rsidP="00A80EDE">
      <w:pPr>
        <w:pStyle w:val="Numparagraphnormal"/>
        <w:numPr>
          <w:ilvl w:val="0"/>
          <w:numId w:val="36"/>
        </w:numPr>
        <w:tabs>
          <w:tab w:val="num" w:pos="1080"/>
        </w:tabs>
        <w:suppressAutoHyphens/>
        <w:ind w:left="1080"/>
      </w:pPr>
      <w:r w:rsidRPr="00A80EDE">
        <w:rPr>
          <w:b/>
          <w:bCs/>
        </w:rPr>
        <w:t>Criteria such as "basic institutional capacity"</w:t>
      </w:r>
      <w:r w:rsidRPr="00A80EDE">
        <w:t xml:space="preserve"> or those to which the answer is predictable ("Yes" constant – e.g. DNSH, equal opportunities) tend to generate a high volume of writing and repetitive evaluation, which indicates a potential objective to be treated unitarily in the compliance area, on a singular verification model.</w:t>
      </w:r>
    </w:p>
    <w:p w14:paraId="66AAAD1F" w14:textId="77777777" w:rsidR="00B018D2" w:rsidRPr="00A80EDE" w:rsidRDefault="00B018D2" w:rsidP="00A80EDE">
      <w:pPr>
        <w:pStyle w:val="Numparagraphnormal"/>
        <w:numPr>
          <w:ilvl w:val="0"/>
          <w:numId w:val="36"/>
        </w:numPr>
        <w:tabs>
          <w:tab w:val="num" w:pos="1080"/>
        </w:tabs>
        <w:suppressAutoHyphens/>
        <w:ind w:left="1080"/>
      </w:pPr>
      <w:r w:rsidRPr="00A80EDE">
        <w:t xml:space="preserve">For </w:t>
      </w:r>
      <w:r w:rsidRPr="00A80EDE">
        <w:rPr>
          <w:b/>
          <w:bCs/>
        </w:rPr>
        <w:t>numerically assessable criteria</w:t>
      </w:r>
      <w:r w:rsidRPr="00A80EDE">
        <w:t xml:space="preserve"> (e.g. budget/estimate, complementarity, BCR indicators) there is a high compatibility with fully automated processes, whereby the role of the evaluators focuses predominantly on the professional analysis of the coherence and relevance of the project, not on manual processing.</w:t>
      </w:r>
    </w:p>
    <w:p w14:paraId="3CC06B48" w14:textId="77777777" w:rsidR="00B018D2" w:rsidRPr="00A80EDE" w:rsidRDefault="00B018D2" w:rsidP="00A80EDE">
      <w:pPr>
        <w:pStyle w:val="Numparagraphnormal"/>
        <w:numPr>
          <w:ilvl w:val="0"/>
          <w:numId w:val="36"/>
        </w:numPr>
        <w:tabs>
          <w:tab w:val="num" w:pos="1080"/>
        </w:tabs>
        <w:suppressAutoHyphens/>
        <w:ind w:left="1080"/>
      </w:pPr>
      <w:r w:rsidRPr="00A80EDE">
        <w:rPr>
          <w:b/>
          <w:bCs/>
        </w:rPr>
        <w:t>Criteria that limit flexibility</w:t>
      </w:r>
      <w:r w:rsidRPr="00A80EDE">
        <w:t xml:space="preserve"> (e.g. very precise thresholds, rigid technical requirements) are identified as elements that unduly constrain the dynamics of selection. At the same time, 'eliminatory' criteria (e.g. DNSH, VNAE) prove compatible with step-by-step approaches, based on adjustment to contraction and ranges/tolerances, not fixed values.</w:t>
      </w:r>
    </w:p>
    <w:p w14:paraId="13CAEEB1" w14:textId="1F88871C" w:rsidR="00A420EC" w:rsidRPr="00A80EDE" w:rsidRDefault="0091600E" w:rsidP="00A80EDE">
      <w:pPr>
        <w:pStyle w:val="Style2"/>
        <w:numPr>
          <w:ilvl w:val="0"/>
          <w:numId w:val="33"/>
        </w:numPr>
        <w:suppressAutoHyphens/>
      </w:pPr>
      <w:r w:rsidRPr="00A80EDE">
        <w:rPr>
          <w:b/>
        </w:rPr>
        <w:t>External issues</w:t>
      </w:r>
      <w:r w:rsidRPr="00A80EDE">
        <w:t xml:space="preserve"> include difficulties related to public procurement, verification of eligibility at the end and short deadlines for submitting projects, influenced by factors outside the control of </w:t>
      </w:r>
      <w:r w:rsidR="00265A17" w:rsidRPr="00A80EDE">
        <w:t>AM.</w:t>
      </w:r>
    </w:p>
    <w:p w14:paraId="6B33B685" w14:textId="26B2A5AD" w:rsidR="00A420EC" w:rsidRPr="00A80EDE" w:rsidRDefault="0091600E" w:rsidP="00A80EDE">
      <w:pPr>
        <w:pStyle w:val="Style2"/>
        <w:numPr>
          <w:ilvl w:val="0"/>
          <w:numId w:val="33"/>
        </w:numPr>
        <w:suppressAutoHyphens/>
      </w:pPr>
      <w:r w:rsidRPr="00A80EDE">
        <w:t xml:space="preserve">The </w:t>
      </w:r>
      <w:r w:rsidRPr="00A80EDE">
        <w:rPr>
          <w:color w:val="0070C0"/>
        </w:rPr>
        <w:t xml:space="preserve">validation </w:t>
      </w:r>
      <w:r w:rsidR="0064166B" w:rsidRPr="00A80EDE">
        <w:rPr>
          <w:color w:val="0070C0"/>
        </w:rPr>
        <w:t xml:space="preserve">phase </w:t>
      </w:r>
      <w:r w:rsidR="0064166B" w:rsidRPr="00A80EDE">
        <w:t>confirmed</w:t>
      </w:r>
      <w:r w:rsidRPr="00A80EDE">
        <w:t xml:space="preserve"> that the </w:t>
      </w:r>
      <w:r w:rsidR="00C369F9" w:rsidRPr="00A80EDE">
        <w:t xml:space="preserve">AM </w:t>
      </w:r>
      <w:r w:rsidRPr="00A80EDE">
        <w:t xml:space="preserve">has introduced a number of tools aimed at reducing the administrative burden, but </w:t>
      </w:r>
      <w:r w:rsidRPr="00A80EDE">
        <w:rPr>
          <w:b/>
          <w:bCs/>
        </w:rPr>
        <w:t xml:space="preserve">their impact remains partial </w:t>
      </w:r>
      <w:r w:rsidRPr="00A80EDE">
        <w:t>and limited by the legislative framework and the prudent approaches required by the audit.</w:t>
      </w:r>
    </w:p>
    <w:p w14:paraId="39EDEB54" w14:textId="2E8AA2DC" w:rsidR="00A420EC" w:rsidRPr="00A80EDE" w:rsidRDefault="0091600E" w:rsidP="00A80EDE">
      <w:pPr>
        <w:pStyle w:val="Style2"/>
        <w:numPr>
          <w:ilvl w:val="0"/>
          <w:numId w:val="33"/>
        </w:numPr>
        <w:suppressAutoHyphens/>
      </w:pPr>
      <w:r w:rsidRPr="00A80EDE">
        <w:t xml:space="preserve">The </w:t>
      </w:r>
      <w:r w:rsidR="00C369F9" w:rsidRPr="00A80EDE">
        <w:t xml:space="preserve">AM </w:t>
      </w:r>
      <w:r w:rsidRPr="00A80EDE">
        <w:t xml:space="preserve">representatives highlighted that </w:t>
      </w:r>
      <w:r w:rsidRPr="00A80EDE">
        <w:rPr>
          <w:b/>
          <w:bCs/>
        </w:rPr>
        <w:t>risk-proportional verification</w:t>
      </w:r>
      <w:r w:rsidRPr="00A80EDE">
        <w:t xml:space="preserve"> has become a common practice and has contributed to the relieving of the teams, but its application is done with caution to avoid divergences of interpretation with the control structures. At the same time, </w:t>
      </w:r>
      <w:r w:rsidRPr="00A80EDE">
        <w:rPr>
          <w:b/>
          <w:bCs/>
        </w:rPr>
        <w:t>simplified costs</w:t>
      </w:r>
      <w:r w:rsidRPr="00A80EDE">
        <w:t xml:space="preserve"> are being implemented selectively and their potential to reduce the volume of documentation is not yet fully exploited.</w:t>
      </w:r>
    </w:p>
    <w:p w14:paraId="7769B547" w14:textId="0B76332C" w:rsidR="00A420EC" w:rsidRPr="00A80EDE" w:rsidRDefault="0091600E" w:rsidP="00A80EDE">
      <w:pPr>
        <w:pStyle w:val="Style2"/>
        <w:numPr>
          <w:ilvl w:val="0"/>
          <w:numId w:val="33"/>
        </w:numPr>
        <w:suppressAutoHyphens/>
      </w:pPr>
      <w:r w:rsidRPr="00A80EDE">
        <w:t xml:space="preserve">The discussions in </w:t>
      </w:r>
      <w:r w:rsidRPr="00A80EDE">
        <w:rPr>
          <w:b/>
          <w:bCs/>
        </w:rPr>
        <w:t>the expert panel</w:t>
      </w:r>
      <w:r w:rsidRPr="00A80EDE">
        <w:t xml:space="preserve"> highlight a common perception that the simplification process in the PR Center remains deeply influenced by factors external to the Managing Authority and by the inconsistencies of the national control system. </w:t>
      </w:r>
    </w:p>
    <w:p w14:paraId="2D5C54BD" w14:textId="77777777" w:rsidR="00A420EC" w:rsidRPr="00A80EDE" w:rsidRDefault="0091600E" w:rsidP="00A80EDE">
      <w:pPr>
        <w:pStyle w:val="Style2"/>
        <w:numPr>
          <w:ilvl w:val="0"/>
          <w:numId w:val="33"/>
        </w:numPr>
        <w:suppressAutoHyphens/>
        <w:rPr>
          <w:i/>
          <w:iCs/>
        </w:rPr>
      </w:pPr>
      <w:r w:rsidRPr="00A80EDE">
        <w:t xml:space="preserve">Important lessons can be learned from the experience of introducing simplified cost options in the PR Center. </w:t>
      </w:r>
      <w:r w:rsidRPr="00A80EDE">
        <w:rPr>
          <w:i/>
          <w:iCs/>
        </w:rPr>
        <w:t>These are described in Annex 1.4.1 and include the following:</w:t>
      </w:r>
    </w:p>
    <w:p w14:paraId="4A2B9886" w14:textId="53B404F4" w:rsidR="00A420EC" w:rsidRPr="00A80EDE" w:rsidRDefault="0091600E" w:rsidP="00A80EDE">
      <w:pPr>
        <w:pStyle w:val="Normalbullet"/>
        <w:suppressAutoHyphens/>
      </w:pPr>
      <w:r w:rsidRPr="00A80EDE">
        <w:rPr>
          <w:rFonts w:eastAsia="MS Gothic"/>
        </w:rPr>
        <w:lastRenderedPageBreak/>
        <w:t>When simplification tools are introduced, a full and uniform alignment of interpretations must be ensured</w:t>
      </w:r>
      <w:r w:rsidRPr="00A80EDE">
        <w:t xml:space="preserve"> between the Managing Authority </w:t>
      </w:r>
      <w:r w:rsidR="00265A17" w:rsidRPr="00A80EDE">
        <w:t>AM</w:t>
      </w:r>
      <w:r w:rsidRPr="00A80EDE">
        <w:t>) and all control institutions (Audit Authority, ANAP, MIPE)</w:t>
      </w:r>
    </w:p>
    <w:p w14:paraId="0587198F" w14:textId="17969091" w:rsidR="00A420EC" w:rsidRPr="00A80EDE" w:rsidRDefault="0091600E" w:rsidP="00A80EDE">
      <w:pPr>
        <w:pStyle w:val="Normalbullet"/>
        <w:suppressAutoHyphens/>
      </w:pPr>
      <w:r w:rsidRPr="00A80EDE">
        <w:rPr>
          <w:rFonts w:eastAsia="MS Gothic"/>
        </w:rPr>
        <w:t xml:space="preserve">When the </w:t>
      </w:r>
      <w:r w:rsidR="00C369F9" w:rsidRPr="00A80EDE">
        <w:rPr>
          <w:rFonts w:eastAsia="MS Gothic"/>
        </w:rPr>
        <w:t xml:space="preserve">AM </w:t>
      </w:r>
      <w:r w:rsidRPr="00A80EDE">
        <w:rPr>
          <w:rFonts w:eastAsia="MS Gothic"/>
        </w:rPr>
        <w:t xml:space="preserve">proposes a new approach </w:t>
      </w:r>
      <w:r w:rsidRPr="00A80EDE">
        <w:t>such as outcome-based standard unit costs, a shift in institutional mindset from bureaucratic compliance to results- and trust-based control is needed. Beneficiaries must have confidence in the risk-free application of the simplified cost.</w:t>
      </w:r>
    </w:p>
    <w:p w14:paraId="2AEC445D" w14:textId="3C2EDEEE" w:rsidR="00A420EC" w:rsidRPr="00A80EDE" w:rsidRDefault="0091600E" w:rsidP="00A80EDE">
      <w:pPr>
        <w:pStyle w:val="Style2"/>
        <w:numPr>
          <w:ilvl w:val="0"/>
          <w:numId w:val="33"/>
        </w:numPr>
        <w:suppressAutoHyphens/>
      </w:pPr>
      <w:r w:rsidRPr="00A80EDE">
        <w:t xml:space="preserve">Focus group participants drew attention to the fact that simplification is practically blocked as long as </w:t>
      </w:r>
      <w:r w:rsidRPr="00A80EDE">
        <w:rPr>
          <w:b/>
          <w:bCs/>
        </w:rPr>
        <w:t>the control institutions continue to apply traditional approaches</w:t>
      </w:r>
      <w:r w:rsidRPr="00A80EDE">
        <w:t xml:space="preserve">, in contradiction with the procedural intentions of the </w:t>
      </w:r>
      <w:r w:rsidR="00265A17" w:rsidRPr="00A80EDE">
        <w:t>AM.</w:t>
      </w:r>
      <w:r w:rsidRPr="00A80EDE">
        <w:t xml:space="preserve"> At the same time, the panel highlighted the fact that </w:t>
      </w:r>
      <w:r w:rsidRPr="00A80EDE">
        <w:rPr>
          <w:b/>
          <w:bCs/>
        </w:rPr>
        <w:t>simplification cannot be imposed unilaterally</w:t>
      </w:r>
      <w:r w:rsidRPr="00A80EDE">
        <w:t>: procedures must be tested and calibrated together with regional actors, and any measure to reduce bureaucracy must be co-created to ensure coherent application and common understanding between MAs, beneficiaries and control institutions. In the absence of this dialogue and inter-institutional alignment, simplification risks remaining only at the level of intention, with no concrete effect on the implementation of the programme.</w:t>
      </w:r>
    </w:p>
    <w:p w14:paraId="45076D37" w14:textId="0634B876" w:rsidR="00A420EC" w:rsidRPr="00A80EDE" w:rsidRDefault="0091600E" w:rsidP="00A80EDE">
      <w:pPr>
        <w:pStyle w:val="Style2"/>
        <w:numPr>
          <w:ilvl w:val="0"/>
          <w:numId w:val="33"/>
        </w:numPr>
        <w:suppressAutoHyphens/>
      </w:pPr>
      <w:r w:rsidRPr="00A80EDE">
        <w:t xml:space="preserve">The current implementation system, based on project competition, generates high administrative costs without being able to prioritize transformative investments at regional level. The evaluation grids favor the documentary compliance and technical capacity of the more experienced beneficiaries, which leads to the selection of well-drafted but low-impact projects. This limitation is amplified by the large number of thematic and small calls for projects, which are intensely demanding on both MAs and beneficiaries, hindering integrated planning and aggregation of results at regional level. The beneficiaries describe this situation as "chasing after too many calls", while the </w:t>
      </w:r>
      <w:r w:rsidR="00C369F9" w:rsidRPr="00A80EDE">
        <w:t xml:space="preserve">AM </w:t>
      </w:r>
      <w:r w:rsidRPr="00A80EDE">
        <w:t>confirms that a small project involves almost the same procedural volume as a large one, with no proportionate benefits.</w:t>
      </w:r>
    </w:p>
    <w:p w14:paraId="48F5B11E" w14:textId="2F9539AB" w:rsidR="00A420EC" w:rsidRPr="00A80EDE" w:rsidRDefault="0091600E" w:rsidP="00A80EDE">
      <w:pPr>
        <w:pStyle w:val="Style2"/>
        <w:numPr>
          <w:ilvl w:val="0"/>
          <w:numId w:val="33"/>
        </w:numPr>
        <w:suppressAutoHyphens/>
      </w:pPr>
      <w:r w:rsidRPr="00A80EDE">
        <w:t xml:space="preserve">The complexity of the procedures and the redundancy of the checks significantly increase the administrative burden, without providing added value to the selection process. The beneficiaries reported the verification of the same documents by several institutions, and the </w:t>
      </w:r>
      <w:r w:rsidR="00C369F9" w:rsidRPr="00A80EDE">
        <w:t xml:space="preserve">AM </w:t>
      </w:r>
      <w:r w:rsidRPr="00A80EDE">
        <w:t xml:space="preserve">confirmed that the overlapping of controls and the lack of consolidated clarifications generate delays and uncertainty. Uneven procedural communication, insufficient standardisation and digitalisation limited to the 'document repository' function directly affect the efficiency of implementation. Beneficiaries request explanatory support – visual guides, examples, checklists – indicating that simplification does not only mean reducing </w:t>
      </w:r>
      <w:r w:rsidR="0064166B" w:rsidRPr="00A80EDE">
        <w:t>documents but</w:t>
      </w:r>
      <w:r w:rsidRPr="00A80EDE">
        <w:t xml:space="preserve"> also access to tools that facilitate the correct understanding and application of the requirements.</w:t>
      </w:r>
    </w:p>
    <w:p w14:paraId="02AEA0C0" w14:textId="504E25B4" w:rsidR="00AD289D" w:rsidRPr="00A80EDE" w:rsidRDefault="004C5C88" w:rsidP="00A80EDE">
      <w:pPr>
        <w:pStyle w:val="Normalbullet"/>
        <w:numPr>
          <w:ilvl w:val="0"/>
          <w:numId w:val="33"/>
        </w:numPr>
        <w:suppressAutoHyphens/>
        <w:rPr>
          <w:lang w:eastAsia="ro-RO"/>
        </w:rPr>
      </w:pPr>
      <w:r w:rsidRPr="00A80EDE">
        <w:rPr>
          <w:b/>
          <w:bCs/>
          <w:lang w:eastAsia="ro-RO"/>
        </w:rPr>
        <w:t xml:space="preserve">A significant part of the identified barriers </w:t>
      </w:r>
      <w:r w:rsidR="0064166B" w:rsidRPr="00A80EDE">
        <w:rPr>
          <w:b/>
          <w:bCs/>
          <w:lang w:eastAsia="ro-RO"/>
        </w:rPr>
        <w:t>is</w:t>
      </w:r>
      <w:r w:rsidRPr="00A80EDE">
        <w:rPr>
          <w:b/>
          <w:bCs/>
          <w:lang w:eastAsia="ro-RO"/>
        </w:rPr>
        <w:t xml:space="preserve"> structural and </w:t>
      </w:r>
      <w:r w:rsidR="005E0119" w:rsidRPr="00A80EDE">
        <w:rPr>
          <w:b/>
          <w:bCs/>
          <w:lang w:eastAsia="ro-RO"/>
        </w:rPr>
        <w:t>goes</w:t>
      </w:r>
      <w:r w:rsidRPr="00A80EDE">
        <w:rPr>
          <w:b/>
          <w:bCs/>
          <w:lang w:eastAsia="ro-RO"/>
        </w:rPr>
        <w:t xml:space="preserve"> beyond the direct control of AM PR Center.</w:t>
      </w:r>
      <w:r w:rsidR="0091600E" w:rsidRPr="00A80EDE">
        <w:rPr>
          <w:lang w:eastAsia="ro-RO"/>
        </w:rPr>
        <w:t xml:space="preserve"> Fragmentation of calls, lack of proportionality, excessive technical details and non-unitary interpretations are consequences of the national regulatory framework and the competitive architecture of cohesion policy. National digital platforms (MySMIS, SIATD, SICAP), public investment rules, rules of verification institutions and the thematic model of calls limit simplification options at regional level. </w:t>
      </w:r>
    </w:p>
    <w:p w14:paraId="1498B972" w14:textId="0AD234CF" w:rsidR="00A420EC" w:rsidRPr="00A80EDE" w:rsidRDefault="0091600E" w:rsidP="00A80EDE">
      <w:pPr>
        <w:pStyle w:val="Style2"/>
        <w:numPr>
          <w:ilvl w:val="0"/>
          <w:numId w:val="33"/>
        </w:numPr>
        <w:suppressAutoHyphens/>
      </w:pPr>
      <w:r w:rsidRPr="00A80EDE">
        <w:rPr>
          <w:lang w:eastAsia="ro-RO"/>
        </w:rPr>
        <w:t xml:space="preserve">Therefore, in the remaining period of the programme, simplification can focus on measures under the control of the </w:t>
      </w:r>
      <w:r w:rsidR="00C369F9" w:rsidRPr="00A80EDE">
        <w:rPr>
          <w:lang w:eastAsia="ro-RO"/>
        </w:rPr>
        <w:t xml:space="preserve">AM </w:t>
      </w:r>
      <w:r w:rsidRPr="00A80EDE">
        <w:rPr>
          <w:lang w:eastAsia="ro-RO"/>
        </w:rPr>
        <w:t>– enhanced clarifications, standardisation, reduction of redundant documents, improved communication and the use of pre-computable data. Recommendations with systemic impact require interventions at national and European level, as well as dialogue and common positions of the regions to reform the implementation mechanisms in the post-2027 period.</w:t>
      </w:r>
    </w:p>
    <w:p w14:paraId="420F1352" w14:textId="77777777" w:rsidR="00A420EC" w:rsidRPr="00A80EDE" w:rsidRDefault="0091600E" w:rsidP="00A80EDE">
      <w:pPr>
        <w:pStyle w:val="Titlu4"/>
        <w:suppressAutoHyphens/>
        <w:rPr>
          <w:lang w:bidi="ne-NP"/>
        </w:rPr>
      </w:pPr>
      <w:r w:rsidRPr="00A80EDE">
        <w:rPr>
          <w:lang w:bidi="ne-NP"/>
        </w:rPr>
        <w:t>5.3. Clarity of procedures from the perspective of beneficiaries</w:t>
      </w:r>
    </w:p>
    <w:p w14:paraId="57650083" w14:textId="3D409AF4" w:rsidR="00A420EC" w:rsidRPr="00A80EDE" w:rsidRDefault="0091600E" w:rsidP="00A80EDE">
      <w:pPr>
        <w:pStyle w:val="Style2"/>
        <w:numPr>
          <w:ilvl w:val="0"/>
          <w:numId w:val="33"/>
        </w:numPr>
        <w:suppressAutoHyphens/>
      </w:pPr>
      <w:r w:rsidRPr="00A80EDE">
        <w:t xml:space="preserve">In </w:t>
      </w:r>
      <w:r w:rsidRPr="00A80EDE">
        <w:rPr>
          <w:color w:val="0070C0"/>
        </w:rPr>
        <w:t>the interviews with the beneficiaries</w:t>
      </w:r>
      <w:r w:rsidRPr="00A80EDE">
        <w:t xml:space="preserve">, it was proposed to introduce internal and public consultation mechanisms in the </w:t>
      </w:r>
      <w:r w:rsidR="00C369F9" w:rsidRPr="00A80EDE">
        <w:t xml:space="preserve">AM </w:t>
      </w:r>
      <w:r w:rsidRPr="00A80EDE">
        <w:t>procedures, as well as to develop explanatory tutorials to support the understanding and correct application of the requirements.</w:t>
      </w:r>
    </w:p>
    <w:p w14:paraId="58D1859E" w14:textId="43D1001A" w:rsidR="00A420EC" w:rsidRPr="00A80EDE" w:rsidRDefault="0091600E" w:rsidP="00A80EDE">
      <w:pPr>
        <w:pStyle w:val="Style2"/>
        <w:numPr>
          <w:ilvl w:val="0"/>
          <w:numId w:val="33"/>
        </w:numPr>
        <w:suppressAutoHyphens/>
      </w:pPr>
      <w:r w:rsidRPr="00A80EDE">
        <w:lastRenderedPageBreak/>
        <w:t xml:space="preserve">As regards </w:t>
      </w:r>
      <w:r w:rsidRPr="00A80EDE">
        <w:rPr>
          <w:b/>
        </w:rPr>
        <w:t xml:space="preserve">issues that are not directly related to ADR as </w:t>
      </w:r>
      <w:r w:rsidR="00C369F9" w:rsidRPr="00A80EDE">
        <w:rPr>
          <w:b/>
        </w:rPr>
        <w:t>AM</w:t>
      </w:r>
      <w:r w:rsidRPr="00A80EDE">
        <w:t xml:space="preserve">, public procurement is the most frequently mentioned area: beneficiaries and MA's staff report numerous financial corrections and different interpretations between institutions (ANAP, Court of Auditors, </w:t>
      </w:r>
      <w:r w:rsidR="00C369F9" w:rsidRPr="00A80EDE">
        <w:t>AM</w:t>
      </w:r>
      <w:r w:rsidRPr="00A80EDE">
        <w:t xml:space="preserve">). In addition, challenging procurement procedures can lead to significant delays.  </w:t>
      </w:r>
    </w:p>
    <w:p w14:paraId="78FFEB0B" w14:textId="72854D7E" w:rsidR="00A420EC" w:rsidRPr="00A80EDE" w:rsidRDefault="0091600E" w:rsidP="00A80EDE">
      <w:pPr>
        <w:pStyle w:val="Style2"/>
        <w:numPr>
          <w:ilvl w:val="0"/>
          <w:numId w:val="33"/>
        </w:numPr>
        <w:suppressAutoHyphens/>
      </w:pPr>
      <w:r w:rsidRPr="00A80EDE">
        <w:t xml:space="preserve">The beneficiaries, similar to the </w:t>
      </w:r>
      <w:r w:rsidR="00C369F9" w:rsidRPr="00A80EDE">
        <w:t xml:space="preserve">AM </w:t>
      </w:r>
      <w:r w:rsidRPr="00A80EDE">
        <w:t xml:space="preserve">staff, also mentioned that </w:t>
      </w:r>
      <w:r w:rsidRPr="00A80EDE">
        <w:rPr>
          <w:b/>
          <w:bCs/>
        </w:rPr>
        <w:t>verifying eligibility at the end</w:t>
      </w:r>
      <w:r w:rsidRPr="00A80EDE">
        <w:t xml:space="preserve"> of the process, and not at the beginning, </w:t>
      </w:r>
      <w:r w:rsidRPr="00A80EDE">
        <w:rPr>
          <w:b/>
          <w:bCs/>
        </w:rPr>
        <w:t>hinders the implementation process</w:t>
      </w:r>
      <w:r w:rsidRPr="00A80EDE">
        <w:t>, as projects can be rejected after a long period of evaluation.</w:t>
      </w:r>
    </w:p>
    <w:p w14:paraId="708D66F9" w14:textId="5AB97B76" w:rsidR="00081D3D" w:rsidRPr="00A80EDE" w:rsidRDefault="00327A3C" w:rsidP="00A80EDE">
      <w:pPr>
        <w:pStyle w:val="Style2"/>
        <w:numPr>
          <w:ilvl w:val="0"/>
          <w:numId w:val="33"/>
        </w:numPr>
        <w:suppressAutoHyphens/>
      </w:pPr>
      <w:r w:rsidRPr="00A80EDE">
        <w:t>The views expressed indicate the need for flexibility in the evaluation procedure, both in terms of sequencing and deadlines. The decision for each type of appeal can be made by comparing the current situation with the previous experience as ROP OI 2014-2020, when the eligibility check was prior to the technical verification.</w:t>
      </w:r>
    </w:p>
    <w:p w14:paraId="0CE8ED60" w14:textId="4B31BE0B" w:rsidR="00A420EC" w:rsidRPr="00A80EDE" w:rsidRDefault="0091600E" w:rsidP="00A80EDE">
      <w:pPr>
        <w:pStyle w:val="Style2"/>
        <w:numPr>
          <w:ilvl w:val="0"/>
          <w:numId w:val="33"/>
        </w:numPr>
        <w:suppressAutoHyphens/>
      </w:pPr>
      <w:r w:rsidRPr="00A80EDE">
        <w:t xml:space="preserve">As regards </w:t>
      </w:r>
      <w:r w:rsidRPr="00A80EDE">
        <w:rPr>
          <w:b/>
          <w:bCs/>
        </w:rPr>
        <w:t>the timing of calls</w:t>
      </w:r>
      <w:r w:rsidRPr="00A80EDE">
        <w:t xml:space="preserve">, the views of beneficiaries and </w:t>
      </w:r>
      <w:r w:rsidR="00C369F9" w:rsidRPr="00A80EDE">
        <w:t xml:space="preserve">AM </w:t>
      </w:r>
      <w:r w:rsidRPr="00A80EDE">
        <w:t xml:space="preserve">staff converge on the fact that </w:t>
      </w:r>
      <w:r w:rsidRPr="00A80EDE">
        <w:rPr>
          <w:b/>
          <w:bCs/>
        </w:rPr>
        <w:t xml:space="preserve">the intervals between the publication of the guides and the deadlines for submission are perceived as </w:t>
      </w:r>
      <w:r w:rsidR="0064166B" w:rsidRPr="00A80EDE">
        <w:rPr>
          <w:b/>
          <w:bCs/>
        </w:rPr>
        <w:t>short,</w:t>
      </w:r>
      <w:r w:rsidR="002B7A52" w:rsidRPr="00A80EDE">
        <w:t xml:space="preserve"> especially given that technical documentation needs to be prepared and in the context of a problematic design services market. The beneficiaries stressed that for complex projects, the current periods do not allow for adequate preparation of the documentation and requested their extension to a minimum of six months. The staff of the </w:t>
      </w:r>
      <w:r w:rsidR="00C369F9" w:rsidRPr="00A80EDE">
        <w:t xml:space="preserve">AM </w:t>
      </w:r>
      <w:r w:rsidR="002B7A52" w:rsidRPr="00A80EDE">
        <w:t xml:space="preserve">admitted that this situation represents a real problem, but specified that it is not exclusively related to the decision of the </w:t>
      </w:r>
      <w:r w:rsidR="00C369F9" w:rsidRPr="00A80EDE">
        <w:t xml:space="preserve">AM </w:t>
      </w:r>
      <w:r w:rsidR="002B7A52" w:rsidRPr="00A80EDE">
        <w:t xml:space="preserve">but is influenced by external factors, such as the application of GEO no. 23/2023, the need to adapt MySMIS and approvals at national and European level, which have led to delays and successive reconfigurations of procedures. While beneficiaries feel directly the pressure of deadlines even if they have been extended and adapted to the preparation of projects, the </w:t>
      </w:r>
      <w:r w:rsidR="00C369F9" w:rsidRPr="00A80EDE">
        <w:t xml:space="preserve">AM </w:t>
      </w:r>
      <w:r w:rsidR="002B7A52" w:rsidRPr="00A80EDE">
        <w:t xml:space="preserve">shows that, beyond the intention to launch calls in a predictable way, regulatory and institutional constraints limit the capacity for flexible planning. </w:t>
      </w:r>
    </w:p>
    <w:p w14:paraId="5EE73066" w14:textId="59AAB772" w:rsidR="00A420EC" w:rsidRPr="00A80EDE" w:rsidRDefault="0091600E" w:rsidP="00A80EDE">
      <w:pPr>
        <w:pStyle w:val="Style2"/>
        <w:numPr>
          <w:ilvl w:val="0"/>
          <w:numId w:val="33"/>
        </w:numPr>
        <w:suppressAutoHyphens/>
      </w:pPr>
      <w:r w:rsidRPr="00A80EDE">
        <w:t>The consultants and beneficiaries appreciate, on the occasion of the dialogue in</w:t>
      </w:r>
      <w:r w:rsidRPr="00A80EDE">
        <w:rPr>
          <w:color w:val="0070C0"/>
        </w:rPr>
        <w:t xml:space="preserve"> the validation phase</w:t>
      </w:r>
      <w:r w:rsidRPr="00A80EDE">
        <w:t xml:space="preserve">, the MA's effort of clarification and standardization, but consider that </w:t>
      </w:r>
      <w:r w:rsidRPr="00A80EDE">
        <w:rPr>
          <w:b/>
          <w:bCs/>
        </w:rPr>
        <w:t>the simplification is felt especially within the institution</w:t>
      </w:r>
      <w:r w:rsidRPr="00A80EDE">
        <w:t xml:space="preserve">, not by the users. A </w:t>
      </w:r>
      <w:r w:rsidRPr="00A80EDE">
        <w:rPr>
          <w:b/>
          <w:bCs/>
        </w:rPr>
        <w:t xml:space="preserve">high number of clarifications persist in the evaluation and contracting </w:t>
      </w:r>
      <w:r w:rsidRPr="00A80EDE">
        <w:t xml:space="preserve">stages, </w:t>
      </w:r>
      <w:r w:rsidR="0064166B" w:rsidRPr="00A80EDE">
        <w:t>including</w:t>
      </w:r>
      <w:r w:rsidRPr="00A80EDE">
        <w:t xml:space="preserve"> minor issues, which </w:t>
      </w:r>
      <w:r w:rsidR="0064166B" w:rsidRPr="00A80EDE">
        <w:t>prolong</w:t>
      </w:r>
      <w:r w:rsidRPr="00A80EDE">
        <w:t xml:space="preserve"> the duration of the processes. They recommend </w:t>
      </w:r>
      <w:r w:rsidRPr="00A80EDE">
        <w:rPr>
          <w:b/>
          <w:bCs/>
        </w:rPr>
        <w:t>standardizing practical guides, developing standard models and explanatory tutorials</w:t>
      </w:r>
      <w:r w:rsidRPr="00A80EDE">
        <w:t xml:space="preserve"> to reduce recurring errors.</w:t>
      </w:r>
    </w:p>
    <w:p w14:paraId="66389F8E" w14:textId="76CAF814" w:rsidR="00A420EC" w:rsidRPr="00A80EDE" w:rsidRDefault="0091600E" w:rsidP="00A80EDE">
      <w:pPr>
        <w:pStyle w:val="Titlu2"/>
        <w:suppressAutoHyphens/>
        <w:rPr>
          <w:rFonts w:hint="eastAsia"/>
        </w:rPr>
      </w:pPr>
      <w:bookmarkStart w:id="27" w:name="_Toc207608292"/>
      <w:bookmarkStart w:id="28" w:name="_Toc216119116"/>
      <w:r w:rsidRPr="00A80EDE">
        <w:t xml:space="preserve">IE6. </w:t>
      </w:r>
      <w:r w:rsidRPr="00A80EDE">
        <w:rPr>
          <w:rFonts w:hint="eastAsia"/>
        </w:rPr>
        <w:t>To what extent</w:t>
      </w:r>
      <w:r w:rsidRPr="00A80EDE">
        <w:t xml:space="preserve"> does the decentralized implementation of the PR Center contribute to institutional </w:t>
      </w:r>
      <w:r w:rsidR="0064166B" w:rsidRPr="00A80EDE">
        <w:t>development, strengthening</w:t>
      </w:r>
      <w:r w:rsidRPr="00A80EDE">
        <w:rPr>
          <w:rFonts w:hint="eastAsia"/>
        </w:rPr>
        <w:t xml:space="preserve"> administrative capacity and increasing the skills of the regional and local actors involved?</w:t>
      </w:r>
      <w:bookmarkEnd w:id="27"/>
      <w:bookmarkEnd w:id="28"/>
    </w:p>
    <w:p w14:paraId="254DF702" w14:textId="77777777" w:rsidR="00A420EC" w:rsidRPr="00A80EDE" w:rsidRDefault="0091600E" w:rsidP="00A80EDE">
      <w:pPr>
        <w:pStyle w:val="Titlu4"/>
        <w:suppressAutoHyphens/>
      </w:pPr>
      <w:r w:rsidRPr="00A80EDE">
        <w:rPr>
          <w:rFonts w:eastAsia="Arial"/>
        </w:rPr>
        <w:t>Summary of findings</w:t>
      </w:r>
    </w:p>
    <w:p w14:paraId="3B09DB33" w14:textId="4E548BC1" w:rsidR="00A420EC" w:rsidRPr="00A80EDE" w:rsidRDefault="0091600E" w:rsidP="00A80EDE">
      <w:pPr>
        <w:pStyle w:val="Style2"/>
        <w:numPr>
          <w:ilvl w:val="0"/>
          <w:numId w:val="33"/>
        </w:numPr>
        <w:suppressAutoHyphens/>
      </w:pPr>
      <w:r w:rsidRPr="00A80EDE">
        <w:t xml:space="preserve">The decentralized implementation of the PR Center has contributed to the institutional development of AM PR Center, which has strengthened its structures, procedures, coordination mechanisms and training processes, benefiting from significant professionalization effects. In large municipalities, the proximity of the </w:t>
      </w:r>
      <w:r w:rsidR="00C369F9" w:rsidRPr="00A80EDE">
        <w:t xml:space="preserve">AM </w:t>
      </w:r>
      <w:r w:rsidRPr="00A80EDE">
        <w:t>and the dialogue adapted to the regional context have strengthened the capacity to manage projects.</w:t>
      </w:r>
    </w:p>
    <w:p w14:paraId="042AF458" w14:textId="1C6180E3" w:rsidR="00A420EC" w:rsidRPr="00A80EDE" w:rsidRDefault="0091600E" w:rsidP="00A80EDE">
      <w:pPr>
        <w:pStyle w:val="Style2"/>
        <w:numPr>
          <w:ilvl w:val="0"/>
          <w:numId w:val="33"/>
        </w:numPr>
        <w:suppressAutoHyphens/>
      </w:pPr>
      <w:r w:rsidRPr="00A80EDE">
        <w:t xml:space="preserve">However, this progress is not uniform across the territory: small </w:t>
      </w:r>
      <w:r w:rsidR="00F94785" w:rsidRPr="00A80EDE">
        <w:t>UAT</w:t>
      </w:r>
      <w:r w:rsidRPr="00A80EDE">
        <w:t>s and municipalities have very limited human resources, depend on consultants, cannot formulate integrated projects and do not benefit substantially from strategic support.</w:t>
      </w:r>
    </w:p>
    <w:p w14:paraId="53C44A32" w14:textId="001180CD" w:rsidR="00A420EC" w:rsidRPr="00A80EDE" w:rsidRDefault="0091600E" w:rsidP="00A80EDE">
      <w:pPr>
        <w:pStyle w:val="Style2"/>
        <w:numPr>
          <w:ilvl w:val="0"/>
          <w:numId w:val="33"/>
        </w:numPr>
        <w:suppressAutoHyphens/>
      </w:pPr>
      <w:r w:rsidRPr="00A80EDE">
        <w:t>Overall, the contribution of decentralisation is significant at the level of MAs and strong regional actors, but partial and uneven at the level of local beneficiaries, depending on the continuation of simplification, differentiated support and integrated planning measures in the period 2026–2029.</w:t>
      </w:r>
    </w:p>
    <w:p w14:paraId="2C5F4ACA" w14:textId="77777777" w:rsidR="00A420EC" w:rsidRPr="00A80EDE" w:rsidRDefault="0091600E" w:rsidP="00A80EDE">
      <w:pPr>
        <w:pStyle w:val="Titlu4"/>
        <w:suppressAutoHyphens/>
        <w:rPr>
          <w:lang w:bidi="ne-NP"/>
        </w:rPr>
      </w:pPr>
      <w:r w:rsidRPr="00A80EDE">
        <w:rPr>
          <w:lang w:bidi="ne-NP"/>
        </w:rPr>
        <w:t>6.1. Contribution of the Programme to the capacity development of regional actors</w:t>
      </w:r>
    </w:p>
    <w:p w14:paraId="5321EA39" w14:textId="75C9D00D" w:rsidR="00811FE9" w:rsidRPr="00A80EDE" w:rsidRDefault="0091600E" w:rsidP="00A80EDE">
      <w:pPr>
        <w:pStyle w:val="Style2"/>
        <w:numPr>
          <w:ilvl w:val="0"/>
          <w:numId w:val="33"/>
        </w:numPr>
        <w:suppressAutoHyphens/>
      </w:pPr>
      <w:r w:rsidRPr="00A80EDE">
        <w:rPr>
          <w:color w:val="0070C0"/>
        </w:rPr>
        <w:t xml:space="preserve">The analysis of the administrative capacity </w:t>
      </w:r>
      <w:r w:rsidRPr="00A80EDE">
        <w:t>(</w:t>
      </w:r>
      <w:r w:rsidRPr="00A80EDE">
        <w:rPr>
          <w:i/>
          <w:iCs/>
        </w:rPr>
        <w:t>see Annex 1.1</w:t>
      </w:r>
      <w:r w:rsidRPr="00A80EDE">
        <w:t xml:space="preserve">) and </w:t>
      </w:r>
      <w:r w:rsidRPr="00A80EDE">
        <w:rPr>
          <w:color w:val="0070C0"/>
        </w:rPr>
        <w:t>the implementation of the 2024–2026 Roadmap</w:t>
      </w:r>
      <w:r w:rsidRPr="00A80EDE">
        <w:t xml:space="preserve"> show that the decentralized implementation of the PR Center has generated </w:t>
      </w:r>
      <w:r w:rsidRPr="00A80EDE">
        <w:lastRenderedPageBreak/>
        <w:t>visible progress in the institutional development of the AM PR Center and in strengthening the internal mechanisms necessary for the management of the program.</w:t>
      </w:r>
    </w:p>
    <w:p w14:paraId="5EC4ED11" w14:textId="56EEAAC9" w:rsidR="00A420EC" w:rsidRPr="00A80EDE" w:rsidRDefault="0091600E" w:rsidP="00A80EDE">
      <w:pPr>
        <w:pStyle w:val="Style2"/>
        <w:numPr>
          <w:ilvl w:val="0"/>
          <w:numId w:val="33"/>
        </w:numPr>
        <w:suppressAutoHyphens/>
      </w:pPr>
      <w:r w:rsidRPr="00A80EDE">
        <w:t xml:space="preserve"> According to the documentary review and the information provided during the interviews with the AM staff, the AM organizational structure has been operationalized, the procedures have been updated, the management and control system has become functional, and the internal mechanisms for coordination, feedback and performance evaluation have started to be used systematically.</w:t>
      </w:r>
    </w:p>
    <w:p w14:paraId="542EB9E0" w14:textId="02B9A785" w:rsidR="00811FE9" w:rsidRPr="00A80EDE" w:rsidRDefault="0091600E" w:rsidP="00A80EDE">
      <w:pPr>
        <w:pStyle w:val="Style2"/>
        <w:numPr>
          <w:ilvl w:val="0"/>
          <w:numId w:val="33"/>
        </w:numPr>
        <w:suppressAutoHyphens/>
      </w:pPr>
      <w:r w:rsidRPr="00A80EDE">
        <w:t xml:space="preserve">The roadmap ensured the start of a coherent capacity-building process. The first stage of the Roadmap managed to strengthen the institutional base of AM PR Center and operationalize the fundamental mechanisms. However, the next stage is taking place in a more complex context, marked by operational overload, capacity gaps at the level of the </w:t>
      </w:r>
      <w:r w:rsidR="00F94785" w:rsidRPr="00A80EDE">
        <w:t>UAT</w:t>
      </w:r>
      <w:r w:rsidRPr="00A80EDE">
        <w:t>s, uneven involvement of partners and the need to prepare for the post-2027 period, announced with significant changes in the implementation systems of the Cohesion Policy. These developments require a phase of modernization and increase of organizational agility in the horizon 2026–2029.</w:t>
      </w:r>
    </w:p>
    <w:p w14:paraId="56F3530A" w14:textId="43FDC3DB" w:rsidR="00A420EC" w:rsidRPr="00A80EDE" w:rsidRDefault="00CF5985" w:rsidP="00A80EDE">
      <w:pPr>
        <w:pStyle w:val="Style2"/>
        <w:numPr>
          <w:ilvl w:val="0"/>
          <w:numId w:val="33"/>
        </w:numPr>
        <w:suppressAutoHyphens/>
      </w:pPr>
      <w:r w:rsidRPr="00A80EDE">
        <w:t xml:space="preserve">The implementation process of the programme has also stimulated the development of the capacity of regional beneficiaries, which is particularly noticeable among large municipalities that have managed to strengthen their own project management mechanisms, benefiting from the proximity of </w:t>
      </w:r>
      <w:r w:rsidR="00C369F9" w:rsidRPr="00A80EDE">
        <w:t>AM</w:t>
      </w:r>
      <w:r w:rsidRPr="00A80EDE">
        <w:t xml:space="preserve">, rapid access to information and a dialogue more adapted to regional needs, which indicates a real contribution of decentralisation to skills training and </w:t>
      </w:r>
      <w:r w:rsidR="0064166B" w:rsidRPr="00A80EDE">
        <w:t>professionalization</w:t>
      </w:r>
      <w:r w:rsidRPr="00A80EDE">
        <w:t xml:space="preserve"> of implementation.</w:t>
      </w:r>
    </w:p>
    <w:p w14:paraId="3F7B6072" w14:textId="1055B445" w:rsidR="00D647B8" w:rsidRPr="00A80EDE" w:rsidRDefault="009506A5" w:rsidP="00A80EDE">
      <w:pPr>
        <w:pStyle w:val="Style2"/>
        <w:numPr>
          <w:ilvl w:val="0"/>
          <w:numId w:val="33"/>
        </w:numPr>
        <w:suppressAutoHyphens/>
      </w:pPr>
      <w:r w:rsidRPr="00A80EDE">
        <w:t>On the other hand, the limited capacity of small and medium-sized towns and municipalities persists. The evaluation report of Axis 13 Supporting the regeneration of small and medium-sized towns, ROP 2014-2020 shows that "</w:t>
      </w:r>
      <w:r w:rsidR="0014299B" w:rsidRPr="00A80EDE">
        <w:rPr>
          <w:i/>
          <w:iCs/>
        </w:rPr>
        <w:t>the physical, economic, human and time resources necessary for the implementation of ROP interventions in small and medium-sized cities are limited, often insufficient and are not used effectively in a results-oriented approach".</w:t>
      </w:r>
      <w:r w:rsidR="00E544F9" w:rsidRPr="00A80EDE">
        <w:t xml:space="preserve"> However, there are also exceptions that can become examples of good practice and models</w:t>
      </w:r>
      <w:r w:rsidR="00E544F9" w:rsidRPr="00A80EDE">
        <w:rPr>
          <w:b/>
        </w:rPr>
        <w:t xml:space="preserve">.   </w:t>
      </w:r>
    </w:p>
    <w:p w14:paraId="4FC5832B" w14:textId="43E573C3" w:rsidR="00A420EC" w:rsidRPr="00A80EDE" w:rsidRDefault="004B1347" w:rsidP="00A80EDE">
      <w:pPr>
        <w:pStyle w:val="Style2"/>
        <w:numPr>
          <w:ilvl w:val="0"/>
          <w:numId w:val="33"/>
        </w:numPr>
        <w:suppressAutoHyphens/>
      </w:pPr>
      <w:r w:rsidRPr="00A80EDE">
        <w:rPr>
          <w:color w:val="0070C0"/>
        </w:rPr>
        <w:t xml:space="preserve">Case studies and focus groups </w:t>
      </w:r>
      <w:r w:rsidRPr="00A80EDE">
        <w:t xml:space="preserve">confirm these shortcomings: small towns and municipalities operate with reduced, overburdened human resources, dependent on consultants and reduced capabilities for strategic planning and integrated approach to development projects. </w:t>
      </w:r>
    </w:p>
    <w:p w14:paraId="7DE043F4" w14:textId="2EB72658" w:rsidR="00A55828" w:rsidRPr="00A80EDE" w:rsidRDefault="00A55828" w:rsidP="00A80EDE">
      <w:pPr>
        <w:pStyle w:val="Style2"/>
        <w:numPr>
          <w:ilvl w:val="0"/>
          <w:numId w:val="33"/>
        </w:numPr>
        <w:suppressAutoHyphens/>
      </w:pPr>
      <w:r w:rsidRPr="00A80EDE">
        <w:t xml:space="preserve">In the region, there is an increasing number of association initiatives between </w:t>
      </w:r>
      <w:r w:rsidR="00F94785" w:rsidRPr="00A80EDE">
        <w:t>UAT</w:t>
      </w:r>
      <w:r w:rsidRPr="00A80EDE">
        <w:t>s to access funding based on integrated territorial development instruments, already implemented through the PR Center in the current programming period. Building the capacity of these associations is a key need to continue and expand the use of these tools.</w:t>
      </w:r>
    </w:p>
    <w:p w14:paraId="1F9BE2C0" w14:textId="6D2B2594" w:rsidR="00A55828" w:rsidRPr="00A80EDE" w:rsidRDefault="00A55828" w:rsidP="00A80EDE">
      <w:pPr>
        <w:pStyle w:val="Style2"/>
        <w:numPr>
          <w:ilvl w:val="0"/>
          <w:numId w:val="33"/>
        </w:numPr>
        <w:suppressAutoHyphens/>
      </w:pPr>
      <w:r w:rsidRPr="00A80EDE">
        <w:t xml:space="preserve">The support provided to beneficiaries is predominantly procedural, oriented towards solving urgent problems related to the financing of projects. However, the </w:t>
      </w:r>
      <w:r w:rsidR="00C369F9" w:rsidRPr="00A80EDE">
        <w:t xml:space="preserve">AM </w:t>
      </w:r>
      <w:r w:rsidRPr="00A80EDE">
        <w:t xml:space="preserve">has invested significant resources in supporting strategic planning processes, and integrated sustainable development strategies condition access to finance and are evaluated by the </w:t>
      </w:r>
      <w:r w:rsidR="00265A17" w:rsidRPr="00A80EDE">
        <w:t>AM.</w:t>
      </w:r>
      <w:r w:rsidRPr="00A80EDE">
        <w:t xml:space="preserve"> However, strategic planning competences remain limited in many small and medium-sized </w:t>
      </w:r>
      <w:r w:rsidR="00F94785" w:rsidRPr="00A80EDE">
        <w:t>UAT</w:t>
      </w:r>
      <w:r w:rsidRPr="00A80EDE">
        <w:t>s, which rely predominantly on consultants for strategy development, without an institutional accumulation of these competences.</w:t>
      </w:r>
    </w:p>
    <w:p w14:paraId="3A56A403" w14:textId="76C06BBC" w:rsidR="00A55828" w:rsidRPr="00A80EDE" w:rsidRDefault="00A55828" w:rsidP="00A80EDE">
      <w:pPr>
        <w:pStyle w:val="Style2"/>
        <w:numPr>
          <w:ilvl w:val="0"/>
          <w:numId w:val="33"/>
        </w:numPr>
        <w:suppressAutoHyphens/>
      </w:pPr>
      <w:r w:rsidRPr="00A80EDE">
        <w:t xml:space="preserve">The preparation of the system for anticipated changes through the proposals for regulations must take into account the constraints generated by the prudent attitude of avoiding financial errors and corrections. The complex legislative framework that is difficult to interpret as a whole – especially in the field of public procurement – together with the 'culture of fear of control' generates over-documentation, risk aversion and difficulties in adopting new approaches, including in the use of simplification tools such as simplified costs. </w:t>
      </w:r>
    </w:p>
    <w:p w14:paraId="00EDA4F2" w14:textId="6B566C79" w:rsidR="00A420EC" w:rsidRPr="00A80EDE" w:rsidRDefault="00321252" w:rsidP="00A80EDE">
      <w:pPr>
        <w:pStyle w:val="Style2"/>
        <w:numPr>
          <w:ilvl w:val="0"/>
          <w:numId w:val="33"/>
        </w:numPr>
        <w:suppressAutoHyphens/>
      </w:pPr>
      <w:r w:rsidRPr="00A80EDE">
        <w:t xml:space="preserve">In practice, the current system functions as an ecosystem geared towards generating a large number of small, administratively compliant projects with low strategic value and regional impact that, according to previous evaluations, including the ROP Evaluation 2014–2020, has not been fully confirmed.  </w:t>
      </w:r>
    </w:p>
    <w:p w14:paraId="37DD8D44" w14:textId="77777777" w:rsidR="00A420EC" w:rsidRPr="00A80EDE" w:rsidRDefault="0091600E" w:rsidP="00A80EDE">
      <w:pPr>
        <w:pStyle w:val="Style2"/>
        <w:numPr>
          <w:ilvl w:val="0"/>
          <w:numId w:val="33"/>
        </w:numPr>
        <w:suppressAutoHyphens/>
      </w:pPr>
      <w:r w:rsidRPr="00A80EDE">
        <w:t xml:space="preserve">Decentralisation has created </w:t>
      </w:r>
      <w:r w:rsidRPr="00A80EDE">
        <w:rPr>
          <w:b/>
          <w:bCs/>
        </w:rPr>
        <w:t>the necessary basis for the development of administrative capacity</w:t>
      </w:r>
      <w:r w:rsidRPr="00A80EDE">
        <w:t xml:space="preserve">, but the real transformation of the ecosystem depends on the continuation and deepening of the interventions proposed for the period 2026–2029, oriented towards differentiated support, </w:t>
      </w:r>
      <w:r w:rsidRPr="00A80EDE">
        <w:lastRenderedPageBreak/>
        <w:t>simplification, integrated territorial planning and the shift from procedural compliance to results-oriented.</w:t>
      </w:r>
    </w:p>
    <w:p w14:paraId="498129C5" w14:textId="197DB674" w:rsidR="00A420EC" w:rsidRPr="00A80EDE" w:rsidRDefault="00041CE0" w:rsidP="00A80EDE">
      <w:pPr>
        <w:pStyle w:val="Titlu2"/>
        <w:suppressAutoHyphens/>
        <w:rPr>
          <w:rFonts w:hint="eastAsia"/>
        </w:rPr>
      </w:pPr>
      <w:bookmarkStart w:id="29" w:name="_Toc207608293"/>
      <w:bookmarkStart w:id="30" w:name="_Toc216119117"/>
      <w:r w:rsidRPr="00A80EDE">
        <w:t>EQ7</w:t>
      </w:r>
      <w:r w:rsidR="0091600E" w:rsidRPr="00A80EDE">
        <w:t xml:space="preserve">. </w:t>
      </w:r>
      <w:r w:rsidR="0091600E" w:rsidRPr="00A80EDE">
        <w:rPr>
          <w:rFonts w:hint="eastAsia"/>
        </w:rPr>
        <w:t>To what extent</w:t>
      </w:r>
      <w:r w:rsidR="0091600E" w:rsidRPr="00A80EDE">
        <w:t xml:space="preserve"> does the implementation system and structure of the regional programme contribute to </w:t>
      </w:r>
      <w:r w:rsidR="0091600E" w:rsidRPr="00A80EDE">
        <w:rPr>
          <w:rFonts w:hint="eastAsia"/>
        </w:rPr>
        <w:t>improving the accessibility of funds for the public and private sectors, to adapting it to the needs and capacity of local actors?</w:t>
      </w:r>
      <w:bookmarkEnd w:id="29"/>
      <w:bookmarkEnd w:id="30"/>
    </w:p>
    <w:p w14:paraId="7B2C351E" w14:textId="77777777" w:rsidR="00A420EC" w:rsidRPr="00A80EDE" w:rsidRDefault="0091600E" w:rsidP="00A80EDE">
      <w:pPr>
        <w:pStyle w:val="Titlu4"/>
        <w:suppressAutoHyphens/>
        <w:rPr>
          <w:rFonts w:eastAsia="Arial"/>
        </w:rPr>
      </w:pPr>
      <w:r w:rsidRPr="00A80EDE">
        <w:rPr>
          <w:rFonts w:eastAsia="Arial"/>
        </w:rPr>
        <w:t xml:space="preserve">Summary of findings </w:t>
      </w:r>
    </w:p>
    <w:p w14:paraId="7400D88B" w14:textId="4CEDCE66" w:rsidR="002F10B6" w:rsidRPr="00A80EDE" w:rsidRDefault="002F10B6" w:rsidP="00A80EDE">
      <w:pPr>
        <w:pStyle w:val="Style2"/>
        <w:numPr>
          <w:ilvl w:val="0"/>
          <w:numId w:val="33"/>
        </w:numPr>
        <w:suppressAutoHyphens/>
      </w:pPr>
      <w:r w:rsidRPr="00A80EDE">
        <w:t>The implementation system and the structure of the PR Center contribute significantly to improving accessibility, through faster procedures, consistent consultations and calls adapted to the regional specificity.</w:t>
      </w:r>
    </w:p>
    <w:p w14:paraId="5F804235" w14:textId="2B4D85CB" w:rsidR="002F10B6" w:rsidRPr="00A80EDE" w:rsidRDefault="002F10B6" w:rsidP="00A80EDE">
      <w:pPr>
        <w:pStyle w:val="Style2"/>
        <w:numPr>
          <w:ilvl w:val="0"/>
          <w:numId w:val="33"/>
        </w:numPr>
        <w:suppressAutoHyphens/>
        <w:rPr>
          <w:lang w:eastAsia="ro-RO"/>
        </w:rPr>
      </w:pPr>
      <w:r w:rsidRPr="00A80EDE">
        <w:rPr>
          <w:lang w:eastAsia="ro-RO"/>
        </w:rPr>
        <w:t xml:space="preserve">The PR Centre is perceived as being better adapted to the needs and particularities of the region than previous programmes, due to the extensive consultations, dedicated calls and institutional proximity of the </w:t>
      </w:r>
      <w:r w:rsidR="00265A17" w:rsidRPr="00A80EDE">
        <w:rPr>
          <w:lang w:eastAsia="ro-RO"/>
        </w:rPr>
        <w:t>AM.</w:t>
      </w:r>
      <w:r w:rsidRPr="00A80EDE">
        <w:rPr>
          <w:lang w:eastAsia="ro-RO"/>
        </w:rPr>
        <w:t xml:space="preserve"> These elements have reduced the time taken to evaluate projects, contracting and subsequent processes such as reimbursement. Beneficiaries and partners appreciate the quick clarifications, the punctual flexibility of the guidelines and the extension of eligible typologies, and the results of the surveys indicate a very high level of satisfaction.</w:t>
      </w:r>
    </w:p>
    <w:p w14:paraId="5678D2E1" w14:textId="2968B521" w:rsidR="002F10B6" w:rsidRPr="00A80EDE" w:rsidRDefault="002F10B6" w:rsidP="00A80EDE">
      <w:pPr>
        <w:pStyle w:val="Style2"/>
        <w:numPr>
          <w:ilvl w:val="0"/>
          <w:numId w:val="33"/>
        </w:numPr>
        <w:suppressAutoHyphens/>
        <w:rPr>
          <w:lang w:eastAsia="ro-RO"/>
        </w:rPr>
      </w:pPr>
      <w:r w:rsidRPr="00A80EDE">
        <w:rPr>
          <w:lang w:eastAsia="ro-RO"/>
        </w:rPr>
        <w:t>AM PR Center is constantly concerned with beneficiaries' access to information and understanding the financing conditions, through a variety of informative materials and presentation sessions. The information caravan organised at the beginning of 2023, the updated calendar of funding opportunities and the training sessions are relevant examples of actions dedicated to facilitating access to finance.</w:t>
      </w:r>
    </w:p>
    <w:p w14:paraId="743EE397" w14:textId="0E790165" w:rsidR="002F10B6" w:rsidRPr="00A80EDE" w:rsidRDefault="002F10B6" w:rsidP="00A80EDE">
      <w:pPr>
        <w:pStyle w:val="Style2"/>
        <w:numPr>
          <w:ilvl w:val="0"/>
          <w:numId w:val="33"/>
        </w:numPr>
        <w:suppressAutoHyphens/>
        <w:rPr>
          <w:lang w:eastAsia="ro-RO"/>
        </w:rPr>
      </w:pPr>
      <w:r w:rsidRPr="00A80EDE">
        <w:rPr>
          <w:lang w:eastAsia="ro-RO"/>
        </w:rPr>
        <w:t xml:space="preserve">However, limited administrative capacity – especially in the case of small and medium-sized </w:t>
      </w:r>
      <w:r w:rsidR="00F94785" w:rsidRPr="00A80EDE">
        <w:rPr>
          <w:lang w:eastAsia="ro-RO"/>
        </w:rPr>
        <w:t>UAT</w:t>
      </w:r>
      <w:r w:rsidRPr="00A80EDE">
        <w:rPr>
          <w:lang w:eastAsia="ro-RO"/>
        </w:rPr>
        <w:t>s – reduces effective access to funding, either through delays in project preparation or through the submission of documentation that does not meet the required standards.</w:t>
      </w:r>
    </w:p>
    <w:p w14:paraId="2BAE209A" w14:textId="2A05C9A9" w:rsidR="002F10B6" w:rsidRPr="00A80EDE" w:rsidRDefault="002F10B6" w:rsidP="00A80EDE">
      <w:pPr>
        <w:pStyle w:val="Style2"/>
        <w:numPr>
          <w:ilvl w:val="0"/>
          <w:numId w:val="33"/>
        </w:numPr>
        <w:suppressAutoHyphens/>
        <w:rPr>
          <w:lang w:eastAsia="ro-RO"/>
        </w:rPr>
      </w:pPr>
      <w:r w:rsidRPr="00A80EDE">
        <w:rPr>
          <w:lang w:eastAsia="ro-RO"/>
        </w:rPr>
        <w:t>Experts warn that the predominant focus on absorption and financing of a large number of small projects can fragment investments and reduce the visibility of impact. Overall, the implementation system contributes considerably to procedural accessibility, but the administrative capacity of the beneficiaries and the structure of the interventions generate an uneven real accessibility, leaving a potential for territorial adaptation still untapped.</w:t>
      </w:r>
    </w:p>
    <w:p w14:paraId="2364B899" w14:textId="77777777" w:rsidR="00A420EC" w:rsidRPr="00A80EDE" w:rsidRDefault="0091600E" w:rsidP="00A80EDE">
      <w:pPr>
        <w:pStyle w:val="Listparagraf"/>
        <w:numPr>
          <w:ilvl w:val="1"/>
          <w:numId w:val="21"/>
        </w:numPr>
        <w:suppressAutoHyphens/>
        <w:rPr>
          <w:rFonts w:eastAsia="Times New Roman"/>
          <w:b/>
          <w:bCs/>
          <w:color w:val="0070C0"/>
          <w:szCs w:val="28"/>
          <w:lang w:bidi="ne-NP"/>
        </w:rPr>
      </w:pPr>
      <w:r w:rsidRPr="00A80EDE">
        <w:rPr>
          <w:rFonts w:eastAsia="Times New Roman"/>
          <w:b/>
          <w:bCs/>
          <w:color w:val="0070C0"/>
          <w:szCs w:val="28"/>
          <w:lang w:bidi="ne-NP"/>
        </w:rPr>
        <w:t>Degree of adaptation of the programme to the specificity and administrative capacity of local actors</w:t>
      </w:r>
    </w:p>
    <w:p w14:paraId="6A0A7948" w14:textId="58128D4B" w:rsidR="00A420EC" w:rsidRPr="00A80EDE" w:rsidRDefault="0091600E" w:rsidP="00A80EDE">
      <w:pPr>
        <w:pStyle w:val="Style2"/>
        <w:numPr>
          <w:ilvl w:val="0"/>
          <w:numId w:val="33"/>
        </w:numPr>
        <w:suppressAutoHyphens/>
      </w:pPr>
      <w:r w:rsidRPr="00A80EDE">
        <w:rPr>
          <w:color w:val="0070C0"/>
        </w:rPr>
        <w:t xml:space="preserve">The documents and case studies </w:t>
      </w:r>
      <w:r w:rsidRPr="00A80EDE">
        <w:t xml:space="preserve">converge in showing that the PR Centre has been adapted to the regional specificity and the capacity of the beneficiaries, through consultations, dedicated calls and simplification measures, which has contributed to the reduction of process times and to </w:t>
      </w:r>
      <w:r w:rsidR="0064166B" w:rsidRPr="00A80EDE">
        <w:t>more</w:t>
      </w:r>
      <w:r w:rsidRPr="00A80EDE">
        <w:t xml:space="preserve"> direct communication with the </w:t>
      </w:r>
      <w:r w:rsidR="00265A17" w:rsidRPr="00A80EDE">
        <w:t>AM.</w:t>
      </w:r>
      <w:r w:rsidRPr="00A80EDE">
        <w:t xml:space="preserve"> </w:t>
      </w:r>
    </w:p>
    <w:p w14:paraId="2EDBA5BC" w14:textId="77777777" w:rsidR="00A420EC" w:rsidRPr="00A80EDE" w:rsidRDefault="0091600E" w:rsidP="00A80EDE">
      <w:pPr>
        <w:pStyle w:val="Style2"/>
        <w:numPr>
          <w:ilvl w:val="0"/>
          <w:numId w:val="33"/>
        </w:numPr>
        <w:suppressAutoHyphens/>
      </w:pPr>
      <w:r w:rsidRPr="00A80EDE">
        <w:t>Beneficiaries and partners pointed out advantages related to the accessibility and flexibility of procedures, but also limits on local resources, standardised criteria and the level of co-financing. Survey data confirm a positive perception of the degree of response to regional needs, with the majority of beneficiaries considering that the program's priorities largely respond to non-none.</w:t>
      </w:r>
    </w:p>
    <w:p w14:paraId="3B71EA53" w14:textId="77777777" w:rsidR="00A420EC" w:rsidRPr="00A80EDE" w:rsidRDefault="0091600E" w:rsidP="00A80EDE">
      <w:pPr>
        <w:pStyle w:val="Style2"/>
        <w:numPr>
          <w:ilvl w:val="0"/>
          <w:numId w:val="33"/>
        </w:numPr>
        <w:suppressAutoHyphens/>
      </w:pPr>
      <w:r w:rsidRPr="00A80EDE">
        <w:t xml:space="preserve">Regarding the adaptation of the program to the regional specificity and the capacity of the beneficiaries, the analysis of </w:t>
      </w:r>
      <w:r w:rsidRPr="00A80EDE">
        <w:rPr>
          <w:color w:val="0070C0"/>
        </w:rPr>
        <w:t xml:space="preserve">the programmatic documents </w:t>
      </w:r>
      <w:r w:rsidRPr="00A80EDE">
        <w:t>shows that the PR Center has integrated elements of adaptation to regional needs in the programming phase, by consulting the applicants and including dedicated calls. These measures have led to differentiated calls on objectives and documentation, suggesting a closer alignment with the local specificity.</w:t>
      </w:r>
    </w:p>
    <w:p w14:paraId="1C374181" w14:textId="1D2887F1" w:rsidR="00A420EC" w:rsidRPr="00A80EDE" w:rsidRDefault="0091600E" w:rsidP="00A80EDE">
      <w:pPr>
        <w:pStyle w:val="Style2"/>
        <w:numPr>
          <w:ilvl w:val="0"/>
          <w:numId w:val="33"/>
        </w:numPr>
        <w:suppressAutoHyphens/>
      </w:pPr>
      <w:r w:rsidRPr="00A80EDE">
        <w:t xml:space="preserve">At the same time, the variable administrative capacity of local actors was taken into account, including through procedural simplifications. The analysis of the information </w:t>
      </w:r>
      <w:r w:rsidR="0064166B" w:rsidRPr="00A80EDE">
        <w:t xml:space="preserve">from </w:t>
      </w:r>
      <w:r w:rsidR="0064166B" w:rsidRPr="00A80EDE">
        <w:rPr>
          <w:color w:val="0070C0"/>
        </w:rPr>
        <w:t>the</w:t>
      </w:r>
      <w:r w:rsidRPr="00A80EDE">
        <w:rPr>
          <w:color w:val="0070C0"/>
        </w:rPr>
        <w:t xml:space="preserve"> focus groups, the panel of experts and the workshop with consultants </w:t>
      </w:r>
      <w:r w:rsidRPr="00A80EDE">
        <w:t xml:space="preserve">indicate that PR Centre has taken important steps towards adapting to the specifics of the region, </w:t>
      </w:r>
      <w:r w:rsidRPr="00A80EDE">
        <w:rPr>
          <w:b/>
          <w:bCs/>
        </w:rPr>
        <w:t>but this adaptation is perceived as still incomplete</w:t>
      </w:r>
      <w:r w:rsidRPr="00A80EDE">
        <w:t xml:space="preserve">. </w:t>
      </w:r>
    </w:p>
    <w:p w14:paraId="0ED8B30E" w14:textId="46B9AE48" w:rsidR="00A420EC" w:rsidRPr="00A80EDE" w:rsidRDefault="0091600E" w:rsidP="00A80EDE">
      <w:pPr>
        <w:pStyle w:val="Style2"/>
        <w:numPr>
          <w:ilvl w:val="0"/>
          <w:numId w:val="33"/>
        </w:numPr>
        <w:suppressAutoHyphens/>
      </w:pPr>
      <w:r w:rsidRPr="00A80EDE">
        <w:lastRenderedPageBreak/>
        <w:t xml:space="preserve">Regional actors appreciate the existence of dedicated calls and consultations in the programming </w:t>
      </w:r>
      <w:r w:rsidR="0064166B" w:rsidRPr="00A80EDE">
        <w:t>phase but</w:t>
      </w:r>
      <w:r w:rsidRPr="00A80EDE">
        <w:t xml:space="preserve"> point out that the current structure of interventions only partially reflects the territorial diversity of the region, marked by a marked polarisation between dynamic municipalities and rural areas with complex needs. </w:t>
      </w:r>
    </w:p>
    <w:p w14:paraId="2A59D49D" w14:textId="53372E85" w:rsidR="00A420EC" w:rsidRPr="00A80EDE" w:rsidRDefault="00794796" w:rsidP="00A80EDE">
      <w:pPr>
        <w:pStyle w:val="Style2"/>
        <w:numPr>
          <w:ilvl w:val="0"/>
          <w:numId w:val="33"/>
        </w:numPr>
        <w:suppressAutoHyphens/>
      </w:pPr>
      <w:r w:rsidRPr="00A80EDE">
        <w:rPr>
          <w:rFonts w:eastAsia="Times New Roman"/>
          <w:szCs w:val="24"/>
        </w:rPr>
        <w:t xml:space="preserve"> </w:t>
      </w:r>
      <w:r w:rsidRPr="00A80EDE">
        <w:t xml:space="preserve">The lack of consolidated mechanisms at the level of some applicants for development by functional areas, territorial fragmentation and the difficulty of integrating complementary components (e.g. infrastructure-endowments-social elements) in a single intervention can limit the adaptation of projects to local particularities. Although the PR Center has promoted and supported this integrated approach in several calls (e.g. P6, P7), the ability to operationalize it differs between the types of </w:t>
      </w:r>
      <w:r w:rsidR="00F94785" w:rsidRPr="00A80EDE">
        <w:t>UAT</w:t>
      </w:r>
      <w:r w:rsidRPr="00A80EDE">
        <w:t>s. At the same time, actors from academia and civil society draw attention to the fact that regional potential in areas such as smart specialisation, cultural heritage or community development is not yet sufficiently exploited and cooperation between relevant actors remains insufficiently structured.</w:t>
      </w:r>
    </w:p>
    <w:p w14:paraId="533E4B2C" w14:textId="77777777" w:rsidR="00A420EC" w:rsidRPr="00A80EDE" w:rsidRDefault="0091600E" w:rsidP="00A80EDE">
      <w:pPr>
        <w:pStyle w:val="Style2"/>
        <w:numPr>
          <w:ilvl w:val="0"/>
          <w:numId w:val="33"/>
        </w:numPr>
        <w:suppressAutoHyphens/>
        <w:rPr>
          <w:b/>
        </w:rPr>
      </w:pPr>
      <w:r w:rsidRPr="00A80EDE">
        <w:t xml:space="preserve">Overall, PR Centre is perceived as a programme closer to regional realities than in previous periods, but with </w:t>
      </w:r>
      <w:r w:rsidRPr="00A80EDE">
        <w:rPr>
          <w:b/>
          <w:bCs/>
        </w:rPr>
        <w:t>an untapped potential to fully reflect the territorial, economic and socio-cultural specificity of the region.</w:t>
      </w:r>
    </w:p>
    <w:p w14:paraId="17D6C369" w14:textId="77777777" w:rsidR="00A420EC" w:rsidRPr="00A80EDE" w:rsidRDefault="0091600E" w:rsidP="00A80EDE">
      <w:pPr>
        <w:pStyle w:val="Listparagraf"/>
        <w:numPr>
          <w:ilvl w:val="1"/>
          <w:numId w:val="21"/>
        </w:numPr>
        <w:suppressAutoHyphens/>
        <w:rPr>
          <w:rFonts w:eastAsia="Times New Roman"/>
          <w:b/>
          <w:bCs/>
          <w:color w:val="0070C0"/>
          <w:szCs w:val="28"/>
          <w:lang w:bidi="ne-NP"/>
        </w:rPr>
      </w:pPr>
      <w:r w:rsidRPr="00A80EDE">
        <w:rPr>
          <w:rFonts w:eastAsia="Times New Roman"/>
          <w:b/>
          <w:bCs/>
          <w:color w:val="0070C0"/>
          <w:szCs w:val="28"/>
          <w:lang w:bidi="ne-NP"/>
        </w:rPr>
        <w:t xml:space="preserve">Actual accessibility of funds </w:t>
      </w:r>
    </w:p>
    <w:p w14:paraId="25134041" w14:textId="4D654D42" w:rsidR="00A420EC" w:rsidRPr="00A80EDE" w:rsidRDefault="0091600E" w:rsidP="00A80EDE">
      <w:pPr>
        <w:pStyle w:val="Style2"/>
        <w:numPr>
          <w:ilvl w:val="0"/>
          <w:numId w:val="33"/>
        </w:numPr>
        <w:suppressAutoHyphens/>
      </w:pPr>
      <w:r w:rsidRPr="00A80EDE">
        <w:t xml:space="preserve">The assignment of the role of </w:t>
      </w:r>
      <w:r w:rsidR="00F94785" w:rsidRPr="00A80EDE">
        <w:t xml:space="preserve">ADR </w:t>
      </w:r>
      <w:r w:rsidRPr="00A80EDE">
        <w:t xml:space="preserve">Centre Managing Authority has improved </w:t>
      </w:r>
      <w:r w:rsidRPr="00A80EDE">
        <w:rPr>
          <w:b/>
          <w:bCs/>
        </w:rPr>
        <w:t>the procedural accessibility</w:t>
      </w:r>
      <w:r w:rsidRPr="00A80EDE">
        <w:t xml:space="preserve"> to funds. </w:t>
      </w:r>
      <w:r w:rsidRPr="00A80EDE">
        <w:rPr>
          <w:color w:val="0070C0"/>
        </w:rPr>
        <w:t xml:space="preserve">The case studies </w:t>
      </w:r>
      <w:r w:rsidRPr="00A80EDE">
        <w:t xml:space="preserve">carried out in communes, cities and municipalities, doubled by the perceptions </w:t>
      </w:r>
      <w:r w:rsidRPr="00A80EDE">
        <w:rPr>
          <w:color w:val="0070C0"/>
        </w:rPr>
        <w:t xml:space="preserve">from the surveys addressed to the beneficiaries, </w:t>
      </w:r>
      <w:r w:rsidRPr="00A80EDE">
        <w:t xml:space="preserve">show that decentralization has reduced the duration of the evaluation, contracting and reimbursement processes, increased predictability in relation to the </w:t>
      </w:r>
      <w:r w:rsidR="00C369F9" w:rsidRPr="00A80EDE">
        <w:t xml:space="preserve">AM </w:t>
      </w:r>
      <w:r w:rsidRPr="00A80EDE">
        <w:t xml:space="preserve">and facilitated a more direct communication adapted to the local context, aspects that have already been detailed in the evaluation questions analyzed above. </w:t>
      </w:r>
    </w:p>
    <w:p w14:paraId="6E94BE6C" w14:textId="07009251" w:rsidR="00A420EC" w:rsidRPr="00A80EDE" w:rsidRDefault="0091600E" w:rsidP="00A80EDE">
      <w:pPr>
        <w:pStyle w:val="Style2"/>
        <w:numPr>
          <w:ilvl w:val="0"/>
          <w:numId w:val="33"/>
        </w:numPr>
        <w:suppressAutoHyphens/>
      </w:pPr>
      <w:r w:rsidRPr="00A80EDE">
        <w:t xml:space="preserve">According to the opinions of the beneficiaries resulting </w:t>
      </w:r>
      <w:r w:rsidR="0064166B" w:rsidRPr="00A80EDE">
        <w:t xml:space="preserve">from </w:t>
      </w:r>
      <w:r w:rsidR="0064166B" w:rsidRPr="00A80EDE">
        <w:rPr>
          <w:color w:val="0070C0"/>
        </w:rPr>
        <w:t>the</w:t>
      </w:r>
      <w:r w:rsidRPr="00A80EDE">
        <w:rPr>
          <w:color w:val="0070C0"/>
        </w:rPr>
        <w:t xml:space="preserve"> interviews for the elaboration of case studies (SdC), </w:t>
      </w:r>
      <w:r w:rsidRPr="00A80EDE">
        <w:t xml:space="preserve">all categories of </w:t>
      </w:r>
      <w:r w:rsidR="00F94785" w:rsidRPr="00A80EDE">
        <w:t>UAT</w:t>
      </w:r>
      <w:r w:rsidRPr="00A80EDE">
        <w:t>s reported a series of advantages compared to the ROP period 2014–2020 or with other programs (e.g. PNRR):</w:t>
      </w:r>
    </w:p>
    <w:p w14:paraId="5B5A3A02" w14:textId="794F7D4D" w:rsidR="00A420EC" w:rsidRPr="00A80EDE" w:rsidRDefault="0091600E" w:rsidP="00A80EDE">
      <w:pPr>
        <w:pStyle w:val="Listparagraf"/>
        <w:numPr>
          <w:ilvl w:val="0"/>
          <w:numId w:val="22"/>
        </w:numPr>
        <w:suppressAutoHyphens/>
      </w:pPr>
      <w:r w:rsidRPr="00A80EDE">
        <w:rPr>
          <w:b/>
          <w:bCs/>
        </w:rPr>
        <w:t>proximity and communication</w:t>
      </w:r>
      <w:r w:rsidRPr="00A80EDE">
        <w:t xml:space="preserve"> with the </w:t>
      </w:r>
      <w:r w:rsidR="00C369F9" w:rsidRPr="00A80EDE">
        <w:t>AM</w:t>
      </w:r>
      <w:r w:rsidRPr="00A80EDE">
        <w:t>, through quick responses and technical clarifications in real time;</w:t>
      </w:r>
    </w:p>
    <w:p w14:paraId="2F703379" w14:textId="77777777" w:rsidR="00A420EC" w:rsidRPr="00A80EDE" w:rsidRDefault="0091600E" w:rsidP="00A80EDE">
      <w:pPr>
        <w:pStyle w:val="Listparagraf"/>
        <w:numPr>
          <w:ilvl w:val="0"/>
          <w:numId w:val="22"/>
        </w:numPr>
        <w:suppressAutoHyphens/>
      </w:pPr>
      <w:r w:rsidRPr="00A80EDE">
        <w:rPr>
          <w:b/>
          <w:bCs/>
        </w:rPr>
        <w:t>reducing administrative barriers</w:t>
      </w:r>
      <w:r w:rsidRPr="00A80EDE">
        <w:t>, by shortening the processing times of reimbursement requests and addenda, rapid contracting of projects;</w:t>
      </w:r>
    </w:p>
    <w:p w14:paraId="7E736D23" w14:textId="77777777" w:rsidR="00A420EC" w:rsidRPr="00A80EDE" w:rsidRDefault="0091600E" w:rsidP="00A80EDE">
      <w:pPr>
        <w:pStyle w:val="Listparagraf"/>
        <w:numPr>
          <w:ilvl w:val="0"/>
          <w:numId w:val="22"/>
        </w:numPr>
        <w:suppressAutoHyphens/>
      </w:pPr>
      <w:r w:rsidRPr="00A80EDE">
        <w:rPr>
          <w:b/>
          <w:bCs/>
        </w:rPr>
        <w:t>openness to adaptation</w:t>
      </w:r>
      <w:r w:rsidRPr="00A80EDE">
        <w:t>, by improving the guides (including new types of beneficiaries and eligible investments) and punctual flexibility in approving budget changes.</w:t>
      </w:r>
    </w:p>
    <w:p w14:paraId="2D2EE328" w14:textId="7EAF0558" w:rsidR="00A420EC" w:rsidRPr="00A80EDE" w:rsidRDefault="0091600E" w:rsidP="00A80EDE">
      <w:pPr>
        <w:pStyle w:val="Style2"/>
        <w:numPr>
          <w:ilvl w:val="0"/>
          <w:numId w:val="33"/>
        </w:numPr>
        <w:suppressAutoHyphens/>
      </w:pPr>
      <w:r w:rsidRPr="00A80EDE">
        <w:t xml:space="preserve">Despite these improvements, there are </w:t>
      </w:r>
      <w:r w:rsidRPr="00A80EDE">
        <w:rPr>
          <w:b/>
          <w:bCs/>
        </w:rPr>
        <w:t xml:space="preserve">notable differences between the categories of </w:t>
      </w:r>
      <w:r w:rsidR="00041CE0" w:rsidRPr="00A80EDE">
        <w:rPr>
          <w:b/>
          <w:bCs/>
        </w:rPr>
        <w:t>UATs</w:t>
      </w:r>
      <w:r w:rsidRPr="00A80EDE">
        <w:t>: municipalities and cities are experiencing difficulties related to limited administrative capacity, and unmet needs, even if they have never been financed by the ERDF, as is the case with water and sanitation infrastructure. Other reported limitations concern:</w:t>
      </w:r>
    </w:p>
    <w:p w14:paraId="7ACD50B7" w14:textId="77777777" w:rsidR="00A420EC" w:rsidRPr="00A80EDE" w:rsidRDefault="0091600E" w:rsidP="00A80EDE">
      <w:pPr>
        <w:pStyle w:val="Listparagraf"/>
        <w:numPr>
          <w:ilvl w:val="0"/>
          <w:numId w:val="23"/>
        </w:numPr>
        <w:suppressAutoHyphens/>
      </w:pPr>
      <w:r w:rsidRPr="00A80EDE">
        <w:rPr>
          <w:b/>
          <w:bCs/>
        </w:rPr>
        <w:t>insufficiently reflected local needs</w:t>
      </w:r>
      <w:r w:rsidRPr="00A80EDE">
        <w:t>, such as street infrastructure, basic utilities, urban mobility adapted to small towns, rehabilitation of historical heritage or parking spaces;</w:t>
      </w:r>
    </w:p>
    <w:p w14:paraId="319E7EDB" w14:textId="77777777" w:rsidR="00A420EC" w:rsidRPr="00A80EDE" w:rsidRDefault="0091600E" w:rsidP="00A80EDE">
      <w:pPr>
        <w:pStyle w:val="Listparagraf"/>
        <w:numPr>
          <w:ilvl w:val="0"/>
          <w:numId w:val="23"/>
        </w:numPr>
        <w:suppressAutoHyphens/>
      </w:pPr>
      <w:r w:rsidRPr="00A80EDE">
        <w:rPr>
          <w:b/>
          <w:bCs/>
        </w:rPr>
        <w:t>the rigidity of criteria and indicators</w:t>
      </w:r>
      <w:r w:rsidRPr="00A80EDE">
        <w:t>, which by standardization exclude projects relevant to the local context (e.g. minimum areas for green spaces, fixed thresholds for social services);</w:t>
      </w:r>
    </w:p>
    <w:p w14:paraId="2875737F" w14:textId="479168DF" w:rsidR="00A420EC" w:rsidRPr="00A80EDE" w:rsidRDefault="0091600E" w:rsidP="00A80EDE">
      <w:pPr>
        <w:pStyle w:val="Listparagraf"/>
        <w:numPr>
          <w:ilvl w:val="0"/>
          <w:numId w:val="23"/>
        </w:numPr>
        <w:suppressAutoHyphens/>
      </w:pPr>
      <w:r w:rsidRPr="00A80EDE">
        <w:rPr>
          <w:b/>
          <w:bCs/>
        </w:rPr>
        <w:t>financial constraints</w:t>
      </w:r>
      <w:r w:rsidRPr="00A80EDE">
        <w:t xml:space="preserve">, generated by co-financing, especially for </w:t>
      </w:r>
      <w:r w:rsidR="00F94785" w:rsidRPr="00A80EDE">
        <w:t>UAT</w:t>
      </w:r>
      <w:r w:rsidRPr="00A80EDE">
        <w:t>s with small budgets, which leads to loans or the abandonment of other local investments. In the case of private beneficiaries, discussions and consultations revealed specific situations in which their own contribution and payment delays created major financial risks, sometimes covered by loans or personal guarantees.</w:t>
      </w:r>
    </w:p>
    <w:p w14:paraId="7C7AE844" w14:textId="14914A60" w:rsidR="00A420EC" w:rsidRPr="00A80EDE" w:rsidRDefault="00644063" w:rsidP="00A80EDE">
      <w:pPr>
        <w:pStyle w:val="Style2"/>
        <w:numPr>
          <w:ilvl w:val="0"/>
          <w:numId w:val="33"/>
        </w:numPr>
        <w:suppressAutoHyphens/>
      </w:pPr>
      <w:r w:rsidRPr="00A80EDE">
        <w:t xml:space="preserve">Thus, case studies consistently show that </w:t>
      </w:r>
      <w:r w:rsidRPr="00A80EDE">
        <w:rPr>
          <w:b/>
          <w:bCs/>
        </w:rPr>
        <w:t>the real accessibility of funds directly depends on the administrative capacity of the beneficiaries</w:t>
      </w:r>
      <w:r w:rsidRPr="00A80EDE">
        <w:t xml:space="preserve"> – where teams are undersized, technical resources are limited or expertise insufficient, the opportunities created through decentralization and simplification cannot be fully exploited, and differences in capacity translate into actual differences in </w:t>
      </w:r>
      <w:r w:rsidRPr="00A80EDE">
        <w:lastRenderedPageBreak/>
        <w:t>access to finance. The survey data</w:t>
      </w:r>
      <w:r w:rsidR="0091600E" w:rsidRPr="00A80EDE">
        <w:rPr>
          <w:color w:val="0070C0"/>
        </w:rPr>
        <w:t xml:space="preserve"> </w:t>
      </w:r>
      <w:r w:rsidR="0064166B" w:rsidRPr="00A80EDE">
        <w:t>indicates</w:t>
      </w:r>
      <w:r w:rsidR="0091600E" w:rsidRPr="00A80EDE">
        <w:t xml:space="preserve"> a mostly positive perception for the two categories of AM staff regarding the accessibility of the program. Among both management and executive staff, more than 60% of respondents believe that the procedures largely support the efficient absorption of funds, and less than 30% consider the support only partially, and improvements are needed. </w:t>
      </w:r>
    </w:p>
    <w:p w14:paraId="122D7B4E" w14:textId="17D672C9" w:rsidR="00A420EC" w:rsidRPr="00A80EDE" w:rsidRDefault="0091600E" w:rsidP="00A80EDE">
      <w:pPr>
        <w:pStyle w:val="Style2"/>
        <w:numPr>
          <w:ilvl w:val="0"/>
          <w:numId w:val="33"/>
        </w:numPr>
        <w:suppressAutoHyphens/>
      </w:pPr>
      <w:r w:rsidRPr="00A80EDE">
        <w:t xml:space="preserve">As for the collaboration with the beneficiaries, both the management and the executive staff within AM PR Center evaluate it as good or very good. </w:t>
      </w:r>
      <w:r w:rsidR="0064166B" w:rsidRPr="00A80EDE">
        <w:t>Execution</w:t>
      </w:r>
      <w:r w:rsidRPr="00A80EDE">
        <w:t xml:space="preserve"> has even more favorable perceptions, reflecting the direct and frequent contact with the beneficiaries and the possibility of offering quick solutions.</w:t>
      </w:r>
    </w:p>
    <w:p w14:paraId="75E029E3" w14:textId="77777777" w:rsidR="00A420EC" w:rsidRPr="00A80EDE" w:rsidRDefault="0091600E" w:rsidP="00A80EDE">
      <w:pPr>
        <w:pStyle w:val="Style2"/>
        <w:numPr>
          <w:ilvl w:val="0"/>
          <w:numId w:val="33"/>
        </w:numPr>
        <w:suppressAutoHyphens/>
      </w:pPr>
      <w:r w:rsidRPr="00A80EDE">
        <w:rPr>
          <w:color w:val="0070C0"/>
        </w:rPr>
        <w:t>The results of the surveys</w:t>
      </w:r>
      <w:r w:rsidRPr="00A80EDE">
        <w:t xml:space="preserve"> applied to beneficiaries and partner structures confirm a predominantly positive perception: 96% of beneficiaries believe that the investment priorities respond to institutional and regional needs to a large or very large extent, and more than half believe that the current programme covers the needs better than the 2014–2020 period. Over 90% rate information and guidelines as clear and sufficient. However, the partners stress that effective accessibility still depends on the clarity of procedures and the strengthening of local administrative capacity. </w:t>
      </w:r>
    </w:p>
    <w:p w14:paraId="33B3DF67" w14:textId="7986DD84" w:rsidR="00A420EC" w:rsidRPr="00A80EDE" w:rsidRDefault="0091600E" w:rsidP="00A80EDE">
      <w:pPr>
        <w:pStyle w:val="Style2"/>
        <w:numPr>
          <w:ilvl w:val="0"/>
          <w:numId w:val="33"/>
        </w:numPr>
        <w:suppressAutoHyphens/>
      </w:pPr>
      <w:r w:rsidRPr="00A80EDE">
        <w:t xml:space="preserve">Thus, although the procedural accessibility of funds has improved – through the proximity of the </w:t>
      </w:r>
      <w:r w:rsidR="00C369F9" w:rsidRPr="00A80EDE">
        <w:t>AM</w:t>
      </w:r>
      <w:r w:rsidRPr="00A80EDE">
        <w:t xml:space="preserve">, the reduction of processing times and the punctual flexibility of the guidelines – the experts consulted draw attention to a structural limitation of the current system: success remains measured almost exclusively by </w:t>
      </w:r>
      <w:r w:rsidRPr="00A80EDE">
        <w:rPr>
          <w:b/>
          <w:bCs/>
        </w:rPr>
        <w:t>absorption</w:t>
      </w:r>
      <w:r w:rsidRPr="00A80EDE">
        <w:t xml:space="preserve">, understood as the volume of projects contracted and amounts spent, not by </w:t>
      </w:r>
      <w:r w:rsidRPr="00A80EDE">
        <w:rPr>
          <w:b/>
          <w:bCs/>
        </w:rPr>
        <w:t>the quality of absorption</w:t>
      </w:r>
      <w:r w:rsidRPr="00A80EDE">
        <w:t xml:space="preserve"> and the results generated in the territory. </w:t>
      </w:r>
    </w:p>
    <w:p w14:paraId="0748B8E3" w14:textId="77777777" w:rsidR="006215A7" w:rsidRPr="00A80EDE" w:rsidRDefault="0091600E" w:rsidP="00A80EDE">
      <w:pPr>
        <w:pStyle w:val="Style2"/>
        <w:numPr>
          <w:ilvl w:val="0"/>
          <w:numId w:val="33"/>
        </w:numPr>
        <w:suppressAutoHyphens/>
        <w:sectPr w:rsidR="006215A7" w:rsidRPr="00A80EDE" w:rsidSect="002D0684">
          <w:headerReference w:type="even" r:id="rId23"/>
          <w:headerReference w:type="default" r:id="rId24"/>
          <w:footerReference w:type="even" r:id="rId25"/>
          <w:footerReference w:type="default" r:id="rId26"/>
          <w:pgSz w:w="11910" w:h="16850"/>
          <w:pgMar w:top="1440" w:right="930" w:bottom="1440" w:left="1260" w:header="144" w:footer="432" w:gutter="0"/>
          <w:cols w:space="708"/>
        </w:sectPr>
      </w:pPr>
      <w:r w:rsidRPr="00A80EDE">
        <w:t xml:space="preserve">In the </w:t>
      </w:r>
      <w:r w:rsidRPr="00A80EDE">
        <w:rPr>
          <w:color w:val="0070C0"/>
        </w:rPr>
        <w:t>discussions in the expert panel and focus group with AM</w:t>
      </w:r>
      <w:r w:rsidRPr="00A80EDE">
        <w:t xml:space="preserve">, this issue was debated – the focus on "spending the money" and multiplying small projects maximizes the absorption rate, but fragments investments and reduces the visibility of impact. In the absence of indicators and mechanisms to capture the real effects of projects, regional disparities are only marginally reduced, and the administrative capacity of beneficiaries remains decisive for how the accessibility of funds is transformed or not into locally developed results. </w:t>
      </w:r>
    </w:p>
    <w:p w14:paraId="4CB66239" w14:textId="19F1DB65" w:rsidR="00A518FC" w:rsidRPr="00A80EDE" w:rsidRDefault="0091600E" w:rsidP="00A80EDE">
      <w:pPr>
        <w:pStyle w:val="Titlu1"/>
        <w:suppressAutoHyphens/>
        <w:rPr>
          <w:rFonts w:hint="eastAsia"/>
        </w:rPr>
      </w:pPr>
      <w:bookmarkStart w:id="31" w:name="_Toc207608294"/>
      <w:bookmarkStart w:id="32" w:name="_Toc216119118"/>
      <w:r w:rsidRPr="00A80EDE">
        <w:rPr>
          <w:rFonts w:hint="eastAsia"/>
        </w:rPr>
        <w:lastRenderedPageBreak/>
        <w:t xml:space="preserve">Conclusions of the report </w:t>
      </w:r>
      <w:bookmarkEnd w:id="31"/>
      <w:bookmarkEnd w:id="32"/>
    </w:p>
    <w:p w14:paraId="47EFCD7E" w14:textId="4251C8CC" w:rsidR="00CC5622" w:rsidRPr="00A80EDE" w:rsidRDefault="0079291F" w:rsidP="00A80EDE">
      <w:pPr>
        <w:pStyle w:val="Style2"/>
        <w:numPr>
          <w:ilvl w:val="0"/>
          <w:numId w:val="33"/>
        </w:numPr>
        <w:suppressAutoHyphens/>
      </w:pPr>
      <w:r w:rsidRPr="00A80EDE">
        <w:rPr>
          <w:b/>
          <w:bCs/>
        </w:rPr>
        <w:t xml:space="preserve">C1.  A solid institutional framework, but with coherence challenges at national level. </w:t>
      </w:r>
      <w:r w:rsidR="00CC5622" w:rsidRPr="00A80EDE">
        <w:t xml:space="preserve">The institutional responsibilities of the PR Center are clearly defined and well assumed, and the organizational structure of the </w:t>
      </w:r>
      <w:r w:rsidR="00C369F9" w:rsidRPr="00A80EDE">
        <w:t xml:space="preserve">AM </w:t>
      </w:r>
      <w:r w:rsidR="00CC5622" w:rsidRPr="00A80EDE">
        <w:t>works coherently and efficiently, adapting to the implementation stages.</w:t>
      </w:r>
    </w:p>
    <w:p w14:paraId="26026635" w14:textId="5691228F" w:rsidR="00CC5622" w:rsidRPr="00A80EDE" w:rsidRDefault="0079291F" w:rsidP="00A80EDE">
      <w:pPr>
        <w:pStyle w:val="Style2"/>
        <w:numPr>
          <w:ilvl w:val="0"/>
          <w:numId w:val="33"/>
        </w:numPr>
        <w:suppressAutoHyphens/>
      </w:pPr>
      <w:r w:rsidRPr="00A80EDE">
        <w:rPr>
          <w:b/>
          <w:bCs/>
        </w:rPr>
        <w:t xml:space="preserve">C2.  A functional partnership, but with unequal involvement between actors. </w:t>
      </w:r>
      <w:r w:rsidR="00CC5622" w:rsidRPr="00A80EDE">
        <w:t xml:space="preserve">The partnership structures are well-established and representative, and the </w:t>
      </w:r>
      <w:r w:rsidR="00C369F9" w:rsidRPr="00A80EDE">
        <w:t xml:space="preserve">AM </w:t>
      </w:r>
      <w:r w:rsidR="00CC5622" w:rsidRPr="00A80EDE">
        <w:t>makes constant efforts to improve communication and involvement. Participation is uneven, public actors are more active, while business and civil society perceive participation as demanding and with limited influence on programme decisions, due to the high volume of documents and resources required.</w:t>
      </w:r>
    </w:p>
    <w:p w14:paraId="3AE56DF3" w14:textId="38FB9720" w:rsidR="00CC5622" w:rsidRPr="00A80EDE" w:rsidRDefault="005A6763" w:rsidP="00A80EDE">
      <w:pPr>
        <w:pStyle w:val="Style2"/>
        <w:numPr>
          <w:ilvl w:val="0"/>
          <w:numId w:val="33"/>
        </w:numPr>
        <w:suppressAutoHyphens/>
      </w:pPr>
      <w:r w:rsidRPr="00A80EDE">
        <w:rPr>
          <w:b/>
          <w:bCs/>
        </w:rPr>
        <w:t xml:space="preserve">C3.  The need for a more flexible funding framework to </w:t>
      </w:r>
      <w:r w:rsidR="0064166B" w:rsidRPr="00A80EDE">
        <w:rPr>
          <w:b/>
          <w:bCs/>
        </w:rPr>
        <w:t>realize</w:t>
      </w:r>
      <w:r w:rsidRPr="00A80EDE">
        <w:rPr>
          <w:b/>
          <w:bCs/>
        </w:rPr>
        <w:t xml:space="preserve"> the potential of the partnership. </w:t>
      </w:r>
      <w:r w:rsidR="00CC5622" w:rsidRPr="00A80EDE">
        <w:t xml:space="preserve">The reduced flexibility of policy objectives and pre-set allocations limited the creative contribution of partners in the first programming exercise, generating the perception of a compliance-oriented process. A more flexible funding framework would allow for the substantial involvement of all actors and strengthen the sense of influence and ownership over strategic directions. In this context, </w:t>
      </w:r>
      <w:r w:rsidR="00F94785" w:rsidRPr="00A80EDE">
        <w:t xml:space="preserve">ADR Centre </w:t>
      </w:r>
      <w:r w:rsidR="00CC5622" w:rsidRPr="00A80EDE">
        <w:t>could extend participatory tools such as territorial laboratories and entrepreneurial discovery processes, creating an accessible and relevant co-creation framework for the entire regional ecosystem.</w:t>
      </w:r>
    </w:p>
    <w:p w14:paraId="0BFFE828" w14:textId="5AC35A33" w:rsidR="00EC47F8" w:rsidRPr="00A80EDE" w:rsidRDefault="00410646" w:rsidP="00A80EDE">
      <w:pPr>
        <w:pStyle w:val="Style2"/>
        <w:numPr>
          <w:ilvl w:val="0"/>
          <w:numId w:val="33"/>
        </w:numPr>
        <w:suppressAutoHyphens/>
      </w:pPr>
      <w:r w:rsidRPr="00A80EDE">
        <w:rPr>
          <w:b/>
          <w:bCs/>
        </w:rPr>
        <w:t xml:space="preserve">C4. Decentralisation has improved the adaptation of the programme to regional needs and operational efficiency. </w:t>
      </w:r>
      <w:r w:rsidR="00EC47F8" w:rsidRPr="00A80EDE">
        <w:t xml:space="preserve">Decentralization has generated a better correlation of interventions with the specifics of the region, strengthened decision-making proximity and allowed relevant operational adjustments (dedicated calls, new types of investments, punctual simplifications). Direct communication and calibrations based on beneficiary feedback have led to faster evaluation, contracting and reimbursement processes, demonstrating a real adaptability of </w:t>
      </w:r>
      <w:r w:rsidR="00265A17" w:rsidRPr="00A80EDE">
        <w:t>AM.</w:t>
      </w:r>
    </w:p>
    <w:p w14:paraId="3C80ABA8" w14:textId="48BEC690" w:rsidR="00A90604" w:rsidRPr="00A80EDE" w:rsidRDefault="0084357F" w:rsidP="00A80EDE">
      <w:pPr>
        <w:pStyle w:val="Style2"/>
        <w:numPr>
          <w:ilvl w:val="0"/>
          <w:numId w:val="33"/>
        </w:numPr>
        <w:suppressAutoHyphens/>
      </w:pPr>
      <w:r w:rsidRPr="00A80EDE">
        <w:rPr>
          <w:b/>
          <w:bCs/>
        </w:rPr>
        <w:t>C5. The system faces structural challenges that influence accessibility and efficiency</w:t>
      </w:r>
      <w:r w:rsidR="009E3BD5" w:rsidRPr="00A80EDE">
        <w:t xml:space="preserve">. The </w:t>
      </w:r>
      <w:r w:rsidR="005A6DC5" w:rsidRPr="00A80EDE">
        <w:t xml:space="preserve">AM </w:t>
      </w:r>
      <w:r w:rsidR="009E3BD5" w:rsidRPr="00A80EDE">
        <w:t xml:space="preserve">has implemented measures to ensure equitable access to finance for the beneficiaries of lower capacity </w:t>
      </w:r>
      <w:r w:rsidR="00F94785" w:rsidRPr="00A80EDE">
        <w:t>UAT</w:t>
      </w:r>
      <w:r w:rsidR="009E3BD5" w:rsidRPr="00A80EDE">
        <w:t xml:space="preserve">s such as small and medium-sized towns and municipalities, opening dedicated calls avoiding competition with large cities and municipalities with better access capacity. However, this has increased the administrative burden at the AM level, which is however high due to the mechanism for launching thematic calls in a program with a very wide diversity. </w:t>
      </w:r>
    </w:p>
    <w:p w14:paraId="676F0CED" w14:textId="55D55462" w:rsidR="00CC5622" w:rsidRPr="00A80EDE" w:rsidRDefault="00FE2529" w:rsidP="00A80EDE">
      <w:pPr>
        <w:pStyle w:val="Style2"/>
        <w:numPr>
          <w:ilvl w:val="0"/>
          <w:numId w:val="33"/>
        </w:numPr>
        <w:suppressAutoHyphens/>
      </w:pPr>
      <w:r w:rsidRPr="00A80EDE">
        <w:rPr>
          <w:b/>
          <w:bCs/>
        </w:rPr>
        <w:t xml:space="preserve">C6. The evaluation notes significant procedural improvements generated </w:t>
      </w:r>
      <w:r w:rsidR="000230BD" w:rsidRPr="00A80EDE">
        <w:t>by decentralisation, including the adoption of its own simplified costs – through a cumbersome and time-consuming process, but which provides valuable experience and a solid basis for scaling up simplification. This development may also contribute to increasing the trust of beneficiaries, especially those who are reluctant due to fears about different interpretations by supervisory institutions of how they understand and apply the rules.</w:t>
      </w:r>
    </w:p>
    <w:p w14:paraId="562E85D8" w14:textId="52FD53EC" w:rsidR="00B11B5E" w:rsidRPr="00A80EDE" w:rsidRDefault="00B11B5E" w:rsidP="00A80EDE">
      <w:pPr>
        <w:pStyle w:val="Style2"/>
        <w:numPr>
          <w:ilvl w:val="0"/>
          <w:numId w:val="33"/>
        </w:numPr>
        <w:suppressAutoHyphens/>
      </w:pPr>
      <w:r w:rsidRPr="00A80EDE">
        <w:rPr>
          <w:b/>
          <w:bCs/>
        </w:rPr>
        <w:t>C7. The PR Center system has a significant potential for evolution towards integrated interventions and strengthened regional collaboration</w:t>
      </w:r>
      <w:r w:rsidR="00394AE3" w:rsidRPr="00A80EDE">
        <w:t xml:space="preserve">. The implementation system has a real capacity to adapt, which opens up important prospects for the development of integrated interventions in the future programming period and for strengthening collaboration mechanisms between regional actors. Decentralization has stimulated the assumption of a strategic role by the Center </w:t>
      </w:r>
      <w:r w:rsidR="00265A17" w:rsidRPr="00A80EDE">
        <w:t>ADR</w:t>
      </w:r>
      <w:r w:rsidR="00394AE3" w:rsidRPr="00A80EDE">
        <w:t xml:space="preserve"> (</w:t>
      </w:r>
      <w:r w:rsidR="00265A17" w:rsidRPr="00A80EDE">
        <w:t>AM</w:t>
      </w:r>
      <w:r w:rsidR="00394AE3" w:rsidRPr="00A80EDE">
        <w:t>), materialized through the Roadmap, which aims to transform the implementation ecosystem into a more collaborative, efficient and impact-oriented system.</w:t>
      </w:r>
    </w:p>
    <w:p w14:paraId="0FA4FC3E" w14:textId="20DA8364" w:rsidR="00756291" w:rsidRPr="00A80EDE" w:rsidRDefault="00756291" w:rsidP="00A80EDE">
      <w:pPr>
        <w:pStyle w:val="Style2"/>
        <w:numPr>
          <w:ilvl w:val="0"/>
          <w:numId w:val="33"/>
        </w:numPr>
        <w:suppressAutoHyphens/>
      </w:pPr>
      <w:r w:rsidRPr="00A80EDE">
        <w:rPr>
          <w:b/>
          <w:bCs/>
        </w:rPr>
        <w:t>C8</w:t>
      </w:r>
      <w:r w:rsidR="00287FC2" w:rsidRPr="00A80EDE">
        <w:t xml:space="preserve">. The analysis highlights that developing </w:t>
      </w:r>
      <w:r w:rsidR="00287FC2" w:rsidRPr="00A80EDE">
        <w:rPr>
          <w:b/>
          <w:bCs/>
        </w:rPr>
        <w:t>the capacity of the regional ecosystem is a central factor for the functioning of a post-2027 adaptive system</w:t>
      </w:r>
      <w:r w:rsidR="00287FC2" w:rsidRPr="00A80EDE">
        <w:t xml:space="preserve">. The results show that performance in an implementation model based on integrated and results-oriented interventions is closely linked to the level of management skills of integrated projects and the existence of forms of non-formal support, such as mentoring, communities of practice or practical assistance provided by </w:t>
      </w:r>
      <w:r w:rsidR="00265A17" w:rsidRPr="00A80EDE">
        <w:t>AM</w:t>
      </w:r>
      <w:r w:rsidR="00287FC2" w:rsidRPr="00A80EDE">
        <w:t xml:space="preserve">. </w:t>
      </w:r>
      <w:r w:rsidR="00287FC2" w:rsidRPr="00A80EDE">
        <w:lastRenderedPageBreak/>
        <w:t>These findings reflect the critical role that the capacity of regional actors plays in the evolution of the future system</w:t>
      </w:r>
    </w:p>
    <w:p w14:paraId="1FDAB1C7" w14:textId="45ED1C8B" w:rsidR="00FA7081" w:rsidRPr="00A80EDE" w:rsidRDefault="00FA7081" w:rsidP="00A80EDE">
      <w:pPr>
        <w:pStyle w:val="Style2"/>
        <w:numPr>
          <w:ilvl w:val="0"/>
          <w:numId w:val="33"/>
        </w:numPr>
        <w:suppressAutoHyphens/>
      </w:pPr>
      <w:r w:rsidRPr="00A80EDE">
        <w:rPr>
          <w:b/>
          <w:bCs/>
        </w:rPr>
        <w:t xml:space="preserve">C9. Progress in simplification and results-orientation </w:t>
      </w:r>
      <w:r w:rsidR="0064166B" w:rsidRPr="00A80EDE">
        <w:rPr>
          <w:b/>
          <w:bCs/>
        </w:rPr>
        <w:t>depends</w:t>
      </w:r>
      <w:r w:rsidRPr="00A80EDE">
        <w:rPr>
          <w:b/>
          <w:bCs/>
        </w:rPr>
        <w:t xml:space="preserve"> on the broader framework of the public administration's verification and control system</w:t>
      </w:r>
      <w:r w:rsidRPr="00A80EDE">
        <w:t xml:space="preserve">. Although relations with national and European structures are generally positive, non-unitary interpretations between </w:t>
      </w:r>
      <w:r w:rsidR="00C369F9" w:rsidRPr="00A80EDE">
        <w:t>AM</w:t>
      </w:r>
      <w:r w:rsidRPr="00A80EDE">
        <w:t>, ANAP, MIPE and the Audit Authority generate uncertainty and risks of financial corrections. The lack of uniform methodological clarifications fuels excessive caution and limits simplification processes. Moreover, national verification and control systems, predominantly compliance and process-oriented, are holding back the uptake of results-based mechanisms. Thus, further simplification and the introduction of results-oriented financing are conditional on reforms at the level of the national verification and control framework.</w:t>
      </w:r>
    </w:p>
    <w:p w14:paraId="1E44E2B4" w14:textId="4960D0AE" w:rsidR="000A25CC" w:rsidRPr="00A80EDE" w:rsidRDefault="000A25CC" w:rsidP="00A80EDE">
      <w:pPr>
        <w:pStyle w:val="Style2"/>
        <w:numPr>
          <w:ilvl w:val="0"/>
          <w:numId w:val="33"/>
        </w:numPr>
        <w:suppressAutoHyphens/>
      </w:pPr>
      <w:r w:rsidRPr="00A80EDE">
        <w:rPr>
          <w:b/>
          <w:bCs/>
        </w:rPr>
        <w:t xml:space="preserve">C10. The current regulatory framework has strengthened the functioning of the </w:t>
      </w:r>
      <w:r w:rsidR="0064166B" w:rsidRPr="00A80EDE">
        <w:rPr>
          <w:b/>
          <w:bCs/>
        </w:rPr>
        <w:t xml:space="preserve">RP </w:t>
      </w:r>
      <w:r w:rsidRPr="00A80EDE">
        <w:rPr>
          <w:b/>
          <w:bCs/>
        </w:rPr>
        <w:t>Center, but remains insufficiently flexible for the specificity of a program with a wide variety of beneficiaries and interventions</w:t>
      </w:r>
      <w:r w:rsidR="000E4556" w:rsidRPr="00A80EDE">
        <w:t xml:space="preserve">. Recent legislative changes have clarified responsibilities, strengthened the role of </w:t>
      </w:r>
      <w:r w:rsidR="00265A17" w:rsidRPr="00A80EDE">
        <w:t xml:space="preserve">ADRs </w:t>
      </w:r>
      <w:r w:rsidR="000E4556" w:rsidRPr="00A80EDE">
        <w:t xml:space="preserve">as Managing Authorities and created premises for the modernization of processes through digitalization, simplified costs and improved administrative mechanisms. These advances have accelerated </w:t>
      </w:r>
      <w:r w:rsidR="00620B46" w:rsidRPr="00A80EDE">
        <w:t>evaluation</w:t>
      </w:r>
      <w:r w:rsidR="000E4556" w:rsidRPr="00A80EDE">
        <w:t xml:space="preserve"> and contracting and strengthened the operational capacity of the </w:t>
      </w:r>
      <w:r w:rsidR="00265A17" w:rsidRPr="00A80EDE">
        <w:t>AM.</w:t>
      </w:r>
      <w:r w:rsidR="000E4556" w:rsidRPr="00A80EDE">
        <w:t xml:space="preserve"> However, the positive effects are diminished by the insufficient flexibility of the regulatory framework in relation to the diversity of interventions in the PR Center, an aspect visible, for example, in the application of Ordinance 23/2023. In addition, the Cohesion Policy funding framework limits the scope for adaptation of </w:t>
      </w:r>
      <w:r w:rsidR="00C369F9" w:rsidRPr="00A80EDE">
        <w:t>AM</w:t>
      </w:r>
      <w:r w:rsidR="000E4556" w:rsidRPr="00A80EDE">
        <w:t>, affecting the possibility of a smooth implementation tailored to regional needs.</w:t>
      </w:r>
    </w:p>
    <w:p w14:paraId="4095C567" w14:textId="1827B5A3" w:rsidR="005A4778" w:rsidRPr="00A80EDE" w:rsidRDefault="00A869EA" w:rsidP="00A80EDE">
      <w:pPr>
        <w:pStyle w:val="Style2"/>
        <w:numPr>
          <w:ilvl w:val="0"/>
          <w:numId w:val="33"/>
        </w:numPr>
        <w:suppressAutoHyphens/>
      </w:pPr>
      <w:r w:rsidRPr="00A80EDE">
        <w:rPr>
          <w:b/>
          <w:bCs/>
        </w:rPr>
        <w:t>C11. The analysis of the proposals for the 2028–2034 funding framework shows a structural shift towards a simplified</w:t>
      </w:r>
      <w:r w:rsidRPr="00A80EDE">
        <w:t xml:space="preserve">, </w:t>
      </w:r>
      <w:r w:rsidR="0064166B" w:rsidRPr="00A80EDE">
        <w:t>digitized</w:t>
      </w:r>
      <w:r w:rsidRPr="00A80EDE">
        <w:t xml:space="preserve"> and results-oriented implementation system, where performance, risk and interoperability become central. In this context, the future functioning of the PR Centre depends on the existence of an administrative ecosystem capable of integrating these requirements – both by strengthening internal capacity and by developing an adaptive and resilient system, ready for the transition to the new cohesion policy architecture.</w:t>
      </w:r>
    </w:p>
    <w:p w14:paraId="21BF59EE" w14:textId="59D463A5" w:rsidR="00183FBD" w:rsidRPr="00A80EDE" w:rsidRDefault="006D07D7" w:rsidP="00A80EDE">
      <w:pPr>
        <w:pStyle w:val="Style2"/>
        <w:numPr>
          <w:ilvl w:val="0"/>
          <w:numId w:val="33"/>
        </w:numPr>
        <w:suppressAutoHyphens/>
      </w:pPr>
      <w:r w:rsidRPr="00A80EDE">
        <w:rPr>
          <w:b/>
          <w:bCs/>
        </w:rPr>
        <w:t xml:space="preserve">C12 The administrative capacity of the </w:t>
      </w:r>
      <w:r w:rsidR="005A6DC5" w:rsidRPr="00A80EDE">
        <w:rPr>
          <w:b/>
          <w:bCs/>
        </w:rPr>
        <w:t xml:space="preserve">AM </w:t>
      </w:r>
      <w:r w:rsidRPr="00A80EDE">
        <w:rPr>
          <w:b/>
          <w:bCs/>
        </w:rPr>
        <w:t>is solid for the current operation, but the increasing operational pressure requires the strengthening of human resources and management tools.</w:t>
      </w:r>
    </w:p>
    <w:p w14:paraId="44E9B5B6" w14:textId="315971CF" w:rsidR="00183FBD" w:rsidRPr="00A80EDE" w:rsidRDefault="00183FBD" w:rsidP="00A80EDE">
      <w:pPr>
        <w:pStyle w:val="Style2"/>
        <w:numPr>
          <w:ilvl w:val="0"/>
          <w:numId w:val="33"/>
        </w:numPr>
        <w:suppressAutoHyphens/>
      </w:pPr>
      <w:r w:rsidRPr="00A80EDE">
        <w:t>The MA's logistical and financial resources are adequate and the staff have solid skills and a well-structured training plan. However, the high level of workload in operational departments, the difficulties in attracting technical specialists and the frequent use of external expertise indicate limits of human resources. In order to maintain performance as the portfolio of projects under implementation expands, it is necessary to continuously strengthen internal capacity and optimize management, planning and collaboration tools.</w:t>
      </w:r>
    </w:p>
    <w:p w14:paraId="698567DF" w14:textId="514B4C88" w:rsidR="008248F2" w:rsidRPr="00A80EDE" w:rsidRDefault="008248F2" w:rsidP="00A80EDE">
      <w:pPr>
        <w:pStyle w:val="Style2"/>
        <w:numPr>
          <w:ilvl w:val="0"/>
          <w:numId w:val="33"/>
        </w:numPr>
        <w:suppressAutoHyphens/>
      </w:pPr>
      <w:r w:rsidRPr="00A80EDE">
        <w:rPr>
          <w:b/>
          <w:bCs/>
        </w:rPr>
        <w:t>C13. The challenges of the post-2027 Cohesion Policy highlight the critical role of human resource development and organizational agility</w:t>
      </w:r>
      <w:r w:rsidRPr="00A80EDE">
        <w:t xml:space="preserve">. Although the first phase of the Roadmap strengthened the institutional basis of </w:t>
      </w:r>
      <w:r w:rsidR="00C369F9" w:rsidRPr="00A80EDE">
        <w:t>AM</w:t>
      </w:r>
      <w:r w:rsidRPr="00A80EDE">
        <w:t xml:space="preserve">, the current dynamics – marked by operational overload, capacity differences between </w:t>
      </w:r>
      <w:r w:rsidR="00F94785" w:rsidRPr="00A80EDE">
        <w:t>UAT</w:t>
      </w:r>
      <w:r w:rsidRPr="00A80EDE">
        <w:t>s, unequal participation of partners and major transformations anticipated for the post-2027 period – indicate the need for an evolution towards more agile, adaptive working models supported by modern implementation mechanisms. In this framework, the 2026–2029 phase becomes essential to strengthen the capacity of the regional ecosystem and to prepare ML for a results-centric, digitalisation and collaboration funding system.</w:t>
      </w:r>
    </w:p>
    <w:p w14:paraId="205CA434" w14:textId="68E11D86" w:rsidR="00256377" w:rsidRPr="00A80EDE" w:rsidRDefault="00256377" w:rsidP="00A80EDE">
      <w:pPr>
        <w:pStyle w:val="Style2"/>
        <w:numPr>
          <w:ilvl w:val="0"/>
          <w:numId w:val="33"/>
        </w:numPr>
        <w:suppressAutoHyphens/>
        <w:rPr>
          <w:b/>
          <w:bCs/>
        </w:rPr>
      </w:pPr>
      <w:r w:rsidRPr="00A80EDE">
        <w:rPr>
          <w:b/>
          <w:bCs/>
        </w:rPr>
        <w:t xml:space="preserve">C14 Unequal administrative capacity of beneficiaries can be a barrier to adopting modern approaches to implementation. </w:t>
      </w:r>
    </w:p>
    <w:p w14:paraId="1A01692D" w14:textId="28F71075" w:rsidR="00256377" w:rsidRPr="00A80EDE" w:rsidRDefault="00256377" w:rsidP="00A80EDE">
      <w:pPr>
        <w:pStyle w:val="Style2"/>
        <w:numPr>
          <w:ilvl w:val="0"/>
          <w:numId w:val="33"/>
        </w:numPr>
        <w:suppressAutoHyphens/>
      </w:pPr>
      <w:r w:rsidRPr="00A80EDE">
        <w:t xml:space="preserve">The reduced administrative capacity of municipalities and small and medium-sized towns remains one of the most important obstacles in accessing funding, implementing projects and carrying out strategic planning. These limits affect the integration of approaches such as results-oriented or </w:t>
      </w:r>
      <w:r w:rsidRPr="00A80EDE">
        <w:lastRenderedPageBreak/>
        <w:t>project portfolio development, perpetuating territorial gaps and constraining the impact of the programme. This situation underlines the need to strengthen the capacity of beneficiaries through dedicated support and tools tailored to their institutional level.</w:t>
      </w:r>
    </w:p>
    <w:p w14:paraId="03FC6C91" w14:textId="653CCB49" w:rsidR="00CA3B79" w:rsidRPr="00A80EDE" w:rsidRDefault="00CA3B79" w:rsidP="00A80EDE">
      <w:pPr>
        <w:pStyle w:val="Style2"/>
        <w:numPr>
          <w:ilvl w:val="0"/>
          <w:numId w:val="33"/>
        </w:numPr>
        <w:suppressAutoHyphens/>
        <w:rPr>
          <w:b/>
          <w:bCs/>
        </w:rPr>
      </w:pPr>
      <w:r w:rsidRPr="00A80EDE">
        <w:rPr>
          <w:b/>
          <w:bCs/>
        </w:rPr>
        <w:t>C15 MySMIS limitations and incomplete digitization slow down the process of streamlining processes.</w:t>
      </w:r>
    </w:p>
    <w:p w14:paraId="19004683" w14:textId="375E9CEE" w:rsidR="00183FBD" w:rsidRPr="00A80EDE" w:rsidRDefault="002C0E17" w:rsidP="00A80EDE">
      <w:pPr>
        <w:pStyle w:val="Style2"/>
        <w:numPr>
          <w:ilvl w:val="0"/>
          <w:numId w:val="33"/>
        </w:numPr>
        <w:suppressAutoHyphens/>
      </w:pPr>
      <w:r w:rsidRPr="00A80EDE">
        <w:t xml:space="preserve">Although the MySMIS 2021–2027 platform has brought new functionalities, new modules, transparency and some procedural improvements, its shortcomings – lack of interoperability, repeated document uploads, unintuitive interface and reduced analysis functionalities – maintain a high level of administrative burden for MIs and beneficiaries. </w:t>
      </w:r>
    </w:p>
    <w:p w14:paraId="3D9205DD" w14:textId="12DDC7A9" w:rsidR="00CB6642" w:rsidRPr="00A80EDE" w:rsidRDefault="00CB6642" w:rsidP="00A80EDE">
      <w:pPr>
        <w:pStyle w:val="Style2"/>
        <w:numPr>
          <w:ilvl w:val="0"/>
          <w:numId w:val="33"/>
        </w:numPr>
        <w:suppressAutoHyphens/>
      </w:pPr>
      <w:r w:rsidRPr="00A80EDE">
        <w:rPr>
          <w:b/>
          <w:bCs/>
        </w:rPr>
        <w:t xml:space="preserve">C16. The selection system has the potential to simplify through automation, rationalization and proportionality. </w:t>
      </w:r>
      <w:r w:rsidRPr="00A80EDE">
        <w:t>The analysis of the evaluation guides and grids shows that the current selection process has the potential for real simplification, shifting the focus from procedural compliance to results, automating pre-selection calculations and eliminating criteria without added value, and differentiating projects by quality.</w:t>
      </w:r>
    </w:p>
    <w:p w14:paraId="1E5B3976" w14:textId="23CBD438" w:rsidR="009C0AB6" w:rsidRPr="00A80EDE" w:rsidRDefault="00DA15E0" w:rsidP="00A80EDE">
      <w:pPr>
        <w:pStyle w:val="Style2"/>
        <w:numPr>
          <w:ilvl w:val="0"/>
          <w:numId w:val="33"/>
        </w:numPr>
        <w:suppressAutoHyphens/>
      </w:pPr>
      <w:r w:rsidRPr="00A80EDE">
        <w:rPr>
          <w:b/>
          <w:bCs/>
        </w:rPr>
        <w:t>C17 AM PR Centre has improved the beneficiaries' access to funding, but the actual access is influenced by the administrative capacity of the beneficiaries</w:t>
      </w:r>
      <w:r w:rsidR="00F640B9" w:rsidRPr="00A80EDE">
        <w:t xml:space="preserve">. </w:t>
      </w:r>
    </w:p>
    <w:p w14:paraId="50980B95" w14:textId="70C32B9A" w:rsidR="00063329" w:rsidRPr="00A80EDE" w:rsidRDefault="009C0AB6" w:rsidP="00A80EDE">
      <w:pPr>
        <w:pStyle w:val="Style2"/>
        <w:numPr>
          <w:ilvl w:val="0"/>
          <w:numId w:val="33"/>
        </w:numPr>
        <w:suppressAutoHyphens/>
        <w:rPr>
          <w:color w:val="0070C0"/>
        </w:rPr>
      </w:pPr>
      <w:r w:rsidRPr="00A80EDE">
        <w:t xml:space="preserve">The PR Center has managed to significantly increase accessibility through faster procedures, extensive consultations, regionally adapted calls and a constant information effort, which has reduced the evaluation and contracting times and generated a very high level of satisfaction among the beneficiaries. However, this procedural accessibility does not always translate into effective access to funding: the limited administrative capacity of small and medium-sized </w:t>
      </w:r>
      <w:r w:rsidR="00F94785" w:rsidRPr="00A80EDE">
        <w:t>UAT</w:t>
      </w:r>
      <w:r w:rsidRPr="00A80EDE">
        <w:t>s, as well as the large number of calls launched through different programmes, with overlapping deadlines, limit or delay their participation.</w:t>
      </w:r>
    </w:p>
    <w:p w14:paraId="3CFB8291" w14:textId="77777777" w:rsidR="00063329" w:rsidRPr="00A80EDE" w:rsidRDefault="00063329" w:rsidP="00A80EDE">
      <w:pPr>
        <w:pStyle w:val="Style2"/>
        <w:suppressAutoHyphens/>
        <w:ind w:firstLine="0"/>
        <w:rPr>
          <w:color w:val="0070C0"/>
        </w:rPr>
      </w:pPr>
    </w:p>
    <w:p w14:paraId="257202C4" w14:textId="77777777" w:rsidR="00063329" w:rsidRPr="00A80EDE" w:rsidRDefault="0091600E" w:rsidP="00A80EDE">
      <w:pPr>
        <w:pStyle w:val="Style2"/>
        <w:suppressAutoHyphens/>
        <w:ind w:firstLine="0"/>
        <w:rPr>
          <w:b/>
          <w:color w:val="0070C0"/>
        </w:rPr>
      </w:pPr>
      <w:r w:rsidRPr="00A80EDE">
        <w:rPr>
          <w:b/>
          <w:color w:val="0070C0"/>
        </w:rPr>
        <w:t>Lessons learned</w:t>
      </w:r>
    </w:p>
    <w:p w14:paraId="33A5F74A" w14:textId="065BC0FA" w:rsidR="00BA1102" w:rsidRPr="00A80EDE" w:rsidRDefault="00BA1102" w:rsidP="00A80EDE">
      <w:pPr>
        <w:pStyle w:val="Style2"/>
        <w:suppressAutoHyphens/>
        <w:ind w:firstLine="0"/>
        <w:rPr>
          <w:b/>
        </w:rPr>
      </w:pPr>
      <w:r w:rsidRPr="00A80EDE">
        <w:rPr>
          <w:b/>
          <w:bCs/>
          <w:color w:val="0070C0"/>
        </w:rPr>
        <w:t>Lesson 1: Equal access to finance and impact projects</w:t>
      </w:r>
    </w:p>
    <w:p w14:paraId="1C3E00CE" w14:textId="50F98908" w:rsidR="00063329" w:rsidRPr="00A80EDE" w:rsidRDefault="00547856" w:rsidP="00A80EDE">
      <w:pPr>
        <w:pStyle w:val="Style2"/>
        <w:numPr>
          <w:ilvl w:val="0"/>
          <w:numId w:val="33"/>
        </w:numPr>
        <w:suppressAutoHyphens/>
      </w:pPr>
      <w:r w:rsidRPr="00A80EDE">
        <w:t xml:space="preserve">Municipalities and large cities – which have consolidated administrative structures, project specialists and easy access to advice – are much better prepared to respond to bureaucratic, technical and compliance requirements and to simultaneously access more funding opportunities. In contrast, small and medium-sized towns and municipalities face structural difficulties: low administrative capacity, limited experience, insufficient resources to prepare several projects in parallel, and difficult access to </w:t>
      </w:r>
      <w:r w:rsidR="0064166B" w:rsidRPr="00A80EDE">
        <w:t>specialized</w:t>
      </w:r>
      <w:r w:rsidRPr="00A80EDE">
        <w:t xml:space="preserve"> skills. When funding is granted competitively, without differentiating the categories of </w:t>
      </w:r>
      <w:r w:rsidR="00227E84" w:rsidRPr="00A80EDE">
        <w:t>UATs</w:t>
      </w:r>
      <w:r w:rsidRPr="00A80EDE">
        <w:t xml:space="preserve">, small </w:t>
      </w:r>
      <w:r w:rsidR="00227E84" w:rsidRPr="00A80EDE">
        <w:t xml:space="preserve">UATs </w:t>
      </w:r>
      <w:r w:rsidRPr="00A80EDE">
        <w:t xml:space="preserve">are at a disadvantage, strongly manifesting the "Matthew effect" </w:t>
      </w:r>
      <w:r w:rsidR="00CC3A0D" w:rsidRPr="00A80EDE">
        <w:rPr>
          <w:sz w:val="16"/>
          <w:szCs w:val="18"/>
        </w:rPr>
        <w:footnoteReference w:id="7"/>
      </w:r>
      <w:r w:rsidR="00227E84" w:rsidRPr="00A80EDE">
        <w:t xml:space="preserve"> </w:t>
      </w:r>
      <w:r w:rsidRPr="00A80EDE">
        <w:t>("who has, gets even more").</w:t>
      </w:r>
    </w:p>
    <w:p w14:paraId="3DBBA463" w14:textId="6014E264" w:rsidR="00547856" w:rsidRPr="00A80EDE" w:rsidRDefault="00547856" w:rsidP="00A80EDE">
      <w:pPr>
        <w:pStyle w:val="Style2"/>
        <w:suppressAutoHyphens/>
        <w:ind w:firstLine="0"/>
        <w:rPr>
          <w:b/>
        </w:rPr>
      </w:pPr>
      <w:r w:rsidRPr="00A80EDE">
        <w:rPr>
          <w:b/>
        </w:rPr>
        <w:t>In practice:</w:t>
      </w:r>
    </w:p>
    <w:p w14:paraId="629E430E" w14:textId="100ACB28" w:rsidR="00547856" w:rsidRPr="00A80EDE" w:rsidRDefault="00547856" w:rsidP="00A80EDE">
      <w:pPr>
        <w:numPr>
          <w:ilvl w:val="0"/>
          <w:numId w:val="31"/>
        </w:numPr>
        <w:suppressAutoHyphens/>
      </w:pPr>
      <w:r w:rsidRPr="00A80EDE">
        <w:t xml:space="preserve">High-capacity </w:t>
      </w:r>
      <w:r w:rsidR="00227E84" w:rsidRPr="00A80EDE">
        <w:t xml:space="preserve">UATs </w:t>
      </w:r>
      <w:r w:rsidRPr="00A80EDE">
        <w:t>win competitions, attract more funds and continuously strengthen their administrative capacity;</w:t>
      </w:r>
    </w:p>
    <w:p w14:paraId="6A18BCB5" w14:textId="1002EB7F" w:rsidR="00547856" w:rsidRPr="00A80EDE" w:rsidRDefault="00547856" w:rsidP="00A80EDE">
      <w:pPr>
        <w:numPr>
          <w:ilvl w:val="0"/>
          <w:numId w:val="31"/>
        </w:numPr>
        <w:suppressAutoHyphens/>
      </w:pPr>
      <w:r w:rsidRPr="00A80EDE">
        <w:t xml:space="preserve">Small </w:t>
      </w:r>
      <w:r w:rsidR="00227E84" w:rsidRPr="00A80EDE">
        <w:t xml:space="preserve">UATs </w:t>
      </w:r>
      <w:r w:rsidRPr="00A80EDE">
        <w:t xml:space="preserve">lose competitions, access fewer resources and remain trapped in small, fragmented projects without transformative impact. The PR Center's experience shows that this effect can be reduced by dedicated calls for small and medium-sized </w:t>
      </w:r>
      <w:r w:rsidR="00227E84" w:rsidRPr="00A80EDE">
        <w:t xml:space="preserve">UATs </w:t>
      </w:r>
      <w:r w:rsidRPr="00A80EDE">
        <w:t xml:space="preserve">or for municipalities. However, this adaptation increases the administrative burden of AM, as the multiplication of calls according to categories and themes generates a high volume to manage. Currently, a </w:t>
      </w:r>
      <w:r w:rsidR="00227E84" w:rsidRPr="00A80EDE">
        <w:t xml:space="preserve">UAT </w:t>
      </w:r>
      <w:r w:rsidRPr="00A80EDE">
        <w:t xml:space="preserve">has to participate in numerous calls to finance its projects included in the </w:t>
      </w:r>
      <w:r w:rsidRPr="00A80EDE">
        <w:lastRenderedPageBreak/>
        <w:t>integrated urban development strategy, resulting in a significant administrative burden for all parties.</w:t>
      </w:r>
    </w:p>
    <w:p w14:paraId="16BB36E6" w14:textId="08ED6F66" w:rsidR="003A6980" w:rsidRPr="00A80EDE" w:rsidRDefault="00547856" w:rsidP="00A80EDE">
      <w:pPr>
        <w:pStyle w:val="Style2"/>
        <w:numPr>
          <w:ilvl w:val="0"/>
          <w:numId w:val="33"/>
        </w:numPr>
        <w:suppressAutoHyphens/>
      </w:pPr>
      <w:r w:rsidRPr="00A80EDE">
        <w:t xml:space="preserve">A solution identified through experience is the reconceptualization of calls for projects: moving from separate thematic calls to calls based on integrated territorial strategies or multi-thematic project portfolios. This approach would reduce the number of calls, simplify the work for both MAs and </w:t>
      </w:r>
      <w:r w:rsidR="00227E84" w:rsidRPr="00A80EDE">
        <w:t>UAT</w:t>
      </w:r>
      <w:r w:rsidR="00227E84" w:rsidRPr="00A80EDE" w:rsidDel="00227E84">
        <w:t xml:space="preserve"> </w:t>
      </w:r>
      <w:r w:rsidRPr="00A80EDE">
        <w:t xml:space="preserve">s, while maintaining the benefit of funding tailored to </w:t>
      </w:r>
      <w:r w:rsidR="00227E84" w:rsidRPr="00A80EDE">
        <w:t>UAT</w:t>
      </w:r>
      <w:r w:rsidRPr="00A80EDE">
        <w:t xml:space="preserve"> typologies. Stimulating associations between </w:t>
      </w:r>
      <w:r w:rsidR="00227E84" w:rsidRPr="00A80EDE">
        <w:t>UAT</w:t>
      </w:r>
      <w:r w:rsidRPr="00A80EDE">
        <w:t xml:space="preserve">s, already applied in some calls, remains a promising direction, although implementation raises challenges related to the reduced strategic planning capacity of many small </w:t>
      </w:r>
      <w:r w:rsidR="00227E84" w:rsidRPr="00A80EDE">
        <w:t>UAT</w:t>
      </w:r>
      <w:r w:rsidRPr="00A80EDE">
        <w:t>s. The necessary response is to support the development of administrative capacity, in particular the capacity for strategic planning, to ensure the quality of strategies and projects.</w:t>
      </w:r>
    </w:p>
    <w:p w14:paraId="538F46F3" w14:textId="3AC5350E" w:rsidR="00063329" w:rsidRPr="00A80EDE" w:rsidRDefault="0045163A" w:rsidP="00A80EDE">
      <w:pPr>
        <w:pStyle w:val="Style2"/>
        <w:numPr>
          <w:ilvl w:val="0"/>
          <w:numId w:val="33"/>
        </w:numPr>
        <w:suppressAutoHyphens/>
      </w:pPr>
      <w:r w:rsidRPr="00A80EDE">
        <w:t xml:space="preserve">When the objective is real territorial cohesion, the system cannot rely exclusively on open competition for the allocation of funds, as this systematically disadvantages small </w:t>
      </w:r>
      <w:r w:rsidR="00227E84" w:rsidRPr="00A80EDE">
        <w:t>UAT</w:t>
      </w:r>
      <w:r w:rsidRPr="00A80EDE">
        <w:t>s with high needs but low capacity. The major lesson is that the logic of isolated projects must be replaced by the logic of financing integrated territorial strategies or integrated urban development strategies, which allow for a coherent vision and aggregate results.</w:t>
      </w:r>
    </w:p>
    <w:p w14:paraId="0AFC6F47" w14:textId="29559704" w:rsidR="00BA1102" w:rsidRPr="00A80EDE" w:rsidRDefault="00BA1102" w:rsidP="00A80EDE">
      <w:pPr>
        <w:pStyle w:val="Style2"/>
        <w:numPr>
          <w:ilvl w:val="0"/>
          <w:numId w:val="33"/>
        </w:numPr>
        <w:suppressAutoHyphens/>
      </w:pPr>
      <w:r w:rsidRPr="00A80EDE">
        <w:t xml:space="preserve">Therefore, the experience of the PR Center teaches us that </w:t>
      </w:r>
      <w:r w:rsidRPr="00A80EDE">
        <w:rPr>
          <w:color w:val="0070C0"/>
        </w:rPr>
        <w:t>in order to correct territorial inequity</w:t>
      </w:r>
      <w:r w:rsidRPr="00A80EDE">
        <w:t>, it is necessary:</w:t>
      </w:r>
    </w:p>
    <w:p w14:paraId="1CD7ABBC" w14:textId="0A6CA151" w:rsidR="00FB2DC3" w:rsidRPr="00A80EDE" w:rsidRDefault="00FB2DC3" w:rsidP="00A80EDE">
      <w:pPr>
        <w:pStyle w:val="Titlu5"/>
        <w:numPr>
          <w:ilvl w:val="0"/>
          <w:numId w:val="1"/>
        </w:numPr>
        <w:suppressAutoHyphens/>
        <w:spacing w:before="0" w:after="0"/>
        <w:rPr>
          <w:rFonts w:ascii="Arial" w:eastAsia="Times New Roman" w:hAnsi="Arial" w:cs="Arial"/>
          <w:color w:val="auto"/>
          <w:u w:val="none"/>
        </w:rPr>
      </w:pPr>
      <w:r w:rsidRPr="00A80EDE">
        <w:rPr>
          <w:rFonts w:ascii="Arial" w:eastAsia="Times New Roman" w:hAnsi="Arial" w:cs="Arial"/>
          <w:color w:val="auto"/>
          <w:u w:val="none"/>
        </w:rPr>
        <w:t xml:space="preserve">Ensuring equal access to finance, avoiding direct competition between </w:t>
      </w:r>
      <w:r w:rsidR="00F94785" w:rsidRPr="00A80EDE">
        <w:rPr>
          <w:rFonts w:ascii="Arial" w:eastAsia="Times New Roman" w:hAnsi="Arial" w:cs="Arial"/>
          <w:color w:val="auto"/>
          <w:u w:val="none"/>
        </w:rPr>
        <w:t>UAT</w:t>
      </w:r>
      <w:r w:rsidRPr="00A80EDE">
        <w:rPr>
          <w:rFonts w:ascii="Arial" w:eastAsia="Times New Roman" w:hAnsi="Arial" w:cs="Arial"/>
          <w:color w:val="auto"/>
          <w:u w:val="none"/>
        </w:rPr>
        <w:t>s with very different capacities.</w:t>
      </w:r>
    </w:p>
    <w:p w14:paraId="18E3FEA0" w14:textId="53AC5EA3" w:rsidR="00FB2DC3" w:rsidRPr="00A80EDE" w:rsidRDefault="00FB2DC3" w:rsidP="00A80EDE">
      <w:pPr>
        <w:pStyle w:val="Titlu5"/>
        <w:numPr>
          <w:ilvl w:val="0"/>
          <w:numId w:val="1"/>
        </w:numPr>
        <w:suppressAutoHyphens/>
        <w:spacing w:before="0" w:after="0"/>
        <w:rPr>
          <w:rFonts w:ascii="Arial" w:eastAsia="Times New Roman" w:hAnsi="Arial" w:cs="Arial"/>
          <w:color w:val="auto"/>
          <w:u w:val="none"/>
        </w:rPr>
      </w:pPr>
      <w:r w:rsidRPr="00A80EDE">
        <w:rPr>
          <w:rFonts w:ascii="Arial" w:eastAsia="Times New Roman" w:hAnsi="Arial" w:cs="Arial"/>
          <w:color w:val="auto"/>
          <w:u w:val="none"/>
        </w:rPr>
        <w:t>Funding based on integrated territorial strategies, not through fragmented thematic calls.</w:t>
      </w:r>
    </w:p>
    <w:p w14:paraId="7DAC03DB" w14:textId="04756956" w:rsidR="00FB2DC3" w:rsidRPr="00A80EDE" w:rsidRDefault="00FB2DC3" w:rsidP="00A80EDE">
      <w:pPr>
        <w:pStyle w:val="Titlu5"/>
        <w:numPr>
          <w:ilvl w:val="0"/>
          <w:numId w:val="1"/>
        </w:numPr>
        <w:suppressAutoHyphens/>
        <w:spacing w:before="0" w:after="0"/>
        <w:rPr>
          <w:rFonts w:ascii="Arial" w:eastAsia="Times New Roman" w:hAnsi="Arial" w:cs="Arial"/>
          <w:color w:val="auto"/>
          <w:u w:val="none"/>
        </w:rPr>
      </w:pPr>
      <w:r w:rsidRPr="00A80EDE">
        <w:rPr>
          <w:rFonts w:ascii="Arial" w:eastAsia="Times New Roman" w:hAnsi="Arial" w:cs="Arial"/>
          <w:color w:val="auto"/>
          <w:u w:val="none"/>
        </w:rPr>
        <w:t xml:space="preserve">Dedicated support for small </w:t>
      </w:r>
      <w:r w:rsidR="00F94785" w:rsidRPr="00A80EDE">
        <w:rPr>
          <w:rFonts w:ascii="Arial" w:eastAsia="Times New Roman" w:hAnsi="Arial" w:cs="Arial"/>
          <w:color w:val="auto"/>
          <w:u w:val="none"/>
        </w:rPr>
        <w:t>UAT</w:t>
      </w:r>
      <w:r w:rsidRPr="00A80EDE">
        <w:rPr>
          <w:rFonts w:ascii="Arial" w:eastAsia="Times New Roman" w:hAnsi="Arial" w:cs="Arial"/>
          <w:color w:val="auto"/>
          <w:u w:val="none"/>
        </w:rPr>
        <w:t>s: technical assistance, training, design support and standardised models.</w:t>
      </w:r>
    </w:p>
    <w:p w14:paraId="4B1CF08E" w14:textId="2756B19B" w:rsidR="00FB2DC3" w:rsidRPr="00A80EDE" w:rsidRDefault="00FB2DC3" w:rsidP="00A80EDE">
      <w:pPr>
        <w:pStyle w:val="Titlu5"/>
        <w:numPr>
          <w:ilvl w:val="0"/>
          <w:numId w:val="1"/>
        </w:numPr>
        <w:suppressAutoHyphens/>
        <w:spacing w:before="0" w:after="0"/>
        <w:rPr>
          <w:rFonts w:ascii="Arial" w:eastAsia="Times New Roman" w:hAnsi="Arial" w:cs="Arial"/>
          <w:color w:val="auto"/>
          <w:u w:val="none"/>
        </w:rPr>
      </w:pPr>
      <w:r w:rsidRPr="00A80EDE">
        <w:rPr>
          <w:rFonts w:ascii="Arial" w:eastAsia="Times New Roman" w:hAnsi="Arial" w:cs="Arial"/>
          <w:color w:val="auto"/>
          <w:u w:val="none"/>
        </w:rPr>
        <w:t xml:space="preserve">Stimulating the association of </w:t>
      </w:r>
      <w:r w:rsidR="00F94785" w:rsidRPr="00A80EDE">
        <w:rPr>
          <w:rFonts w:ascii="Arial" w:eastAsia="Times New Roman" w:hAnsi="Arial" w:cs="Arial"/>
          <w:color w:val="auto"/>
          <w:u w:val="none"/>
        </w:rPr>
        <w:t>UAT</w:t>
      </w:r>
      <w:r w:rsidRPr="00A80EDE">
        <w:rPr>
          <w:rFonts w:ascii="Arial" w:eastAsia="Times New Roman" w:hAnsi="Arial" w:cs="Arial"/>
          <w:color w:val="auto"/>
          <w:u w:val="none"/>
        </w:rPr>
        <w:t>s through selection criteria, bonuses and technical support.</w:t>
      </w:r>
    </w:p>
    <w:p w14:paraId="2C2C9E6F" w14:textId="19183C6C" w:rsidR="00647765" w:rsidRPr="00A80EDE" w:rsidRDefault="00FB2DC3" w:rsidP="00A80EDE">
      <w:pPr>
        <w:pStyle w:val="Titlu5"/>
        <w:numPr>
          <w:ilvl w:val="0"/>
          <w:numId w:val="1"/>
        </w:numPr>
        <w:suppressAutoHyphens/>
        <w:spacing w:before="0" w:after="0"/>
        <w:rPr>
          <w:rFonts w:ascii="Arial" w:eastAsia="Times New Roman" w:hAnsi="Arial" w:cs="Arial"/>
          <w:color w:val="auto"/>
          <w:u w:val="none"/>
        </w:rPr>
      </w:pPr>
      <w:r w:rsidRPr="00A80EDE">
        <w:rPr>
          <w:rFonts w:ascii="Arial" w:eastAsia="Times New Roman" w:hAnsi="Arial" w:cs="Arial"/>
          <w:color w:val="auto"/>
          <w:u w:val="none"/>
        </w:rPr>
        <w:t>Targeting funding towards aggregate and transformative impact, not the number of small projects approved.</w:t>
      </w:r>
    </w:p>
    <w:p w14:paraId="09C9D73F" w14:textId="488BAD88" w:rsidR="00A420EC" w:rsidRPr="00A80EDE" w:rsidRDefault="00F8369B" w:rsidP="00A80EDE">
      <w:pPr>
        <w:pStyle w:val="Style2"/>
        <w:suppressAutoHyphens/>
        <w:ind w:firstLine="0"/>
        <w:rPr>
          <w:b/>
          <w:bCs/>
          <w:color w:val="0070C0"/>
        </w:rPr>
      </w:pPr>
      <w:r w:rsidRPr="00A80EDE">
        <w:rPr>
          <w:b/>
          <w:bCs/>
          <w:color w:val="0070C0"/>
        </w:rPr>
        <w:t>Lesson 2</w:t>
      </w:r>
      <w:r w:rsidR="0091600E" w:rsidRPr="00A80EDE">
        <w:rPr>
          <w:rFonts w:hint="eastAsia"/>
          <w:b/>
          <w:bCs/>
          <w:color w:val="0070C0"/>
        </w:rPr>
        <w:t>. Turning simplified costs into complicated costs</w:t>
      </w:r>
    </w:p>
    <w:p w14:paraId="6908C726" w14:textId="50C3DA18" w:rsidR="00063329" w:rsidRPr="00A80EDE" w:rsidRDefault="00204F20" w:rsidP="00A80EDE">
      <w:pPr>
        <w:pStyle w:val="Style2"/>
        <w:numPr>
          <w:ilvl w:val="0"/>
          <w:numId w:val="33"/>
        </w:numPr>
        <w:suppressAutoHyphens/>
      </w:pPr>
      <w:r w:rsidRPr="00A80EDE">
        <w:t xml:space="preserve">Although Simplified Cost Options (SCOs) were initially welcomed as promising tools for reducing administrative burden and the risk of error, their real impact has remained limited, often turning into "complicated costs". AM PR Center has gained important experience by going through the entire process of substantiation, endorsement and, subsequently, use. The evaluation confirms the constructive attitude of the </w:t>
      </w:r>
      <w:r w:rsidR="00265A17" w:rsidRPr="00A80EDE">
        <w:t>AM</w:t>
      </w:r>
      <w:r w:rsidRPr="00A80EDE">
        <w:t xml:space="preserve">, which capitalizes on the lessons learned and </w:t>
      </w:r>
      <w:r w:rsidR="0064166B" w:rsidRPr="00A80EDE">
        <w:t>recognizes</w:t>
      </w:r>
      <w:r w:rsidRPr="00A80EDE">
        <w:t xml:space="preserve"> the real potential of the SCO for simplification, even if the reluctance of the beneficiaries persists as a result of negative experiences in other programmes.</w:t>
      </w:r>
    </w:p>
    <w:p w14:paraId="56A4709D" w14:textId="2CAC4CBD" w:rsidR="00A420EC" w:rsidRPr="00A80EDE" w:rsidRDefault="0091600E" w:rsidP="00A80EDE">
      <w:pPr>
        <w:pStyle w:val="Style2"/>
        <w:numPr>
          <w:ilvl w:val="0"/>
          <w:numId w:val="33"/>
        </w:numPr>
        <w:suppressAutoHyphens/>
      </w:pPr>
      <w:r w:rsidRPr="00A80EDE">
        <w:rPr>
          <w:rFonts w:eastAsia="Arial"/>
          <w:b/>
        </w:rPr>
        <w:t>Challenges of the substantiation and endorsement process:</w:t>
      </w:r>
    </w:p>
    <w:p w14:paraId="7D81142B" w14:textId="02697812" w:rsidR="00A420EC" w:rsidRPr="00A80EDE" w:rsidRDefault="0091600E" w:rsidP="00A80EDE">
      <w:pPr>
        <w:numPr>
          <w:ilvl w:val="0"/>
          <w:numId w:val="24"/>
        </w:numPr>
        <w:suppressAutoHyphens/>
        <w:spacing w:before="0" w:after="0"/>
        <w:rPr>
          <w:rFonts w:eastAsia="Arial"/>
          <w:szCs w:val="22"/>
        </w:rPr>
      </w:pPr>
      <w:r w:rsidRPr="00A80EDE">
        <w:rPr>
          <w:rFonts w:eastAsia="Arial"/>
          <w:b/>
          <w:bCs/>
          <w:szCs w:val="22"/>
        </w:rPr>
        <w:t>The complexity and duration of the process</w:t>
      </w:r>
      <w:r w:rsidR="00F21A34" w:rsidRPr="00A80EDE">
        <w:rPr>
          <w:rFonts w:eastAsia="Arial"/>
          <w:szCs w:val="22"/>
        </w:rPr>
        <w:t xml:space="preserve">. The process of defining and approving </w:t>
      </w:r>
      <w:r w:rsidR="0064166B" w:rsidRPr="00A80EDE">
        <w:rPr>
          <w:rFonts w:eastAsia="Arial"/>
          <w:szCs w:val="22"/>
        </w:rPr>
        <w:t>own</w:t>
      </w:r>
      <w:r w:rsidR="00F21A34" w:rsidRPr="00A80EDE">
        <w:rPr>
          <w:rFonts w:eastAsia="Arial"/>
          <w:szCs w:val="22"/>
        </w:rPr>
        <w:t xml:space="preserve"> SCO by the Managing Authority and approval by the Audit Authority is excessively complicated, taking up to two years and consuming significant resources.</w:t>
      </w:r>
    </w:p>
    <w:p w14:paraId="5BEFAD5B" w14:textId="46CF7430" w:rsidR="00A420EC" w:rsidRPr="00A80EDE" w:rsidRDefault="0091600E" w:rsidP="00A80EDE">
      <w:pPr>
        <w:numPr>
          <w:ilvl w:val="0"/>
          <w:numId w:val="24"/>
        </w:numPr>
        <w:suppressAutoHyphens/>
        <w:spacing w:before="0" w:after="0"/>
        <w:rPr>
          <w:rFonts w:eastAsia="Arial"/>
          <w:szCs w:val="22"/>
        </w:rPr>
      </w:pPr>
      <w:r w:rsidRPr="00A80EDE">
        <w:rPr>
          <w:rFonts w:eastAsia="Arial"/>
          <w:b/>
          <w:bCs/>
          <w:szCs w:val="22"/>
        </w:rPr>
        <w:t>Problems with master data</w:t>
      </w:r>
      <w:r w:rsidR="00F3346D" w:rsidRPr="00A80EDE">
        <w:rPr>
          <w:rFonts w:eastAsia="Arial"/>
          <w:szCs w:val="22"/>
        </w:rPr>
        <w:t>. Data considered 'reliable' by the Audit Authority is often outdated. Updating them through statistical indices does not capture the real volatility of the market, resulting in unattractive or insufficient benchmarks for beneficiaries.</w:t>
      </w:r>
    </w:p>
    <w:p w14:paraId="14DA6017" w14:textId="04B1DFCD" w:rsidR="00A420EC" w:rsidRPr="00A80EDE" w:rsidRDefault="0091600E" w:rsidP="00A80EDE">
      <w:pPr>
        <w:numPr>
          <w:ilvl w:val="0"/>
          <w:numId w:val="24"/>
        </w:numPr>
        <w:suppressAutoHyphens/>
        <w:spacing w:before="0" w:after="0"/>
        <w:rPr>
          <w:rFonts w:eastAsia="Arial"/>
          <w:szCs w:val="22"/>
        </w:rPr>
      </w:pPr>
      <w:r w:rsidRPr="00A80EDE">
        <w:rPr>
          <w:rFonts w:eastAsia="Arial"/>
          <w:b/>
          <w:bCs/>
          <w:szCs w:val="22"/>
        </w:rPr>
        <w:t>The discouraging effect</w:t>
      </w:r>
      <w:r w:rsidR="00F3346D" w:rsidRPr="00A80EDE">
        <w:rPr>
          <w:rFonts w:eastAsia="Arial"/>
          <w:szCs w:val="22"/>
        </w:rPr>
        <w:t xml:space="preserve">. This arduous process discourages MAs from developing their own SCOs, leading them to opt, in cases where they are mandatory, for an SCO from </w:t>
      </w:r>
      <w:r w:rsidR="0064166B" w:rsidRPr="00A80EDE">
        <w:rPr>
          <w:rFonts w:eastAsia="Arial"/>
          <w:szCs w:val="22"/>
        </w:rPr>
        <w:t>European</w:t>
      </w:r>
      <w:r w:rsidR="00F3346D" w:rsidRPr="00A80EDE">
        <w:rPr>
          <w:rFonts w:eastAsia="Arial"/>
          <w:szCs w:val="22"/>
        </w:rPr>
        <w:t xml:space="preserve"> regulation (most often the flat rate of 7%).</w:t>
      </w:r>
    </w:p>
    <w:p w14:paraId="18A518A4" w14:textId="577D4B13" w:rsidR="00A420EC" w:rsidRPr="00A80EDE" w:rsidRDefault="0091600E" w:rsidP="00A80EDE">
      <w:pPr>
        <w:pStyle w:val="Style2"/>
        <w:suppressAutoHyphens/>
        <w:rPr>
          <w:rFonts w:eastAsia="Arial"/>
          <w:b/>
        </w:rPr>
      </w:pPr>
      <w:r w:rsidRPr="00A80EDE">
        <w:rPr>
          <w:rFonts w:eastAsia="Arial"/>
          <w:b/>
        </w:rPr>
        <w:t>Implementation inconsistency and lack of trust:</w:t>
      </w:r>
    </w:p>
    <w:p w14:paraId="10AF0D98" w14:textId="44C8B2F0" w:rsidR="00A420EC" w:rsidRPr="00A80EDE" w:rsidRDefault="0091600E" w:rsidP="00A80EDE">
      <w:pPr>
        <w:numPr>
          <w:ilvl w:val="0"/>
          <w:numId w:val="25"/>
        </w:numPr>
        <w:suppressAutoHyphens/>
        <w:spacing w:before="0" w:after="0"/>
        <w:rPr>
          <w:rFonts w:eastAsia="Arial"/>
          <w:szCs w:val="22"/>
        </w:rPr>
      </w:pPr>
      <w:r w:rsidRPr="00A80EDE">
        <w:rPr>
          <w:rFonts w:eastAsia="Arial"/>
          <w:szCs w:val="22"/>
        </w:rPr>
        <w:t>Divergent interpretations of the flat rate - even when using the flat rate (7% of total eligible costs), different application methodologies emerge, confirming the persistence of misaligned interpretations of the Regulation.</w:t>
      </w:r>
    </w:p>
    <w:p w14:paraId="26A934AC" w14:textId="43FF88E8" w:rsidR="00A420EC" w:rsidRPr="00A80EDE" w:rsidRDefault="0091600E" w:rsidP="00A80EDE">
      <w:pPr>
        <w:numPr>
          <w:ilvl w:val="0"/>
          <w:numId w:val="25"/>
        </w:numPr>
        <w:suppressAutoHyphens/>
        <w:spacing w:before="0" w:after="0"/>
        <w:rPr>
          <w:rFonts w:eastAsia="Arial"/>
          <w:szCs w:val="22"/>
        </w:rPr>
      </w:pPr>
      <w:r w:rsidRPr="00A80EDE">
        <w:rPr>
          <w:rFonts w:eastAsia="Arial"/>
          <w:szCs w:val="22"/>
        </w:rPr>
        <w:lastRenderedPageBreak/>
        <w:t xml:space="preserve">Reserved attitude of beneficiaries – a major constraint is the reserved and cautious attitude of beneficiaries, being a direct result of previous negative experiences, in which the initial checks indicated by the </w:t>
      </w:r>
      <w:r w:rsidR="005A6DC5" w:rsidRPr="00A80EDE">
        <w:rPr>
          <w:rFonts w:eastAsia="Arial"/>
          <w:szCs w:val="22"/>
        </w:rPr>
        <w:t xml:space="preserve">AM </w:t>
      </w:r>
      <w:r w:rsidRPr="00A80EDE">
        <w:rPr>
          <w:rFonts w:eastAsia="Arial"/>
          <w:szCs w:val="22"/>
        </w:rPr>
        <w:t>were contradicted and modified during a subsequent audit mission.</w:t>
      </w:r>
    </w:p>
    <w:p w14:paraId="6BEB5B9F" w14:textId="13E8AEB4" w:rsidR="009F1180" w:rsidRPr="00A80EDE" w:rsidRDefault="009F1180" w:rsidP="00A80EDE">
      <w:pPr>
        <w:pStyle w:val="Style2"/>
        <w:numPr>
          <w:ilvl w:val="0"/>
          <w:numId w:val="33"/>
        </w:numPr>
        <w:suppressAutoHyphens/>
      </w:pPr>
      <w:r w:rsidRPr="00A80EDE">
        <w:t>In order for simplification tools to reach their potential and generate trust, a clear, mandatory and uniform alignment of interpretations between the Managing Authority and all control institutions (Audit Authority, ANAP, MIPE) is essential before starting any process of defining or endorsing a SCO. Equally important is building the trust of beneficiaries, and the experience gained in the period 2021–2027 represents an important first step towards expanding the use of simplified costs in the future.</w:t>
      </w:r>
    </w:p>
    <w:p w14:paraId="667460B6" w14:textId="5FB2CC47" w:rsidR="00A420EC" w:rsidRPr="00A80EDE" w:rsidRDefault="0091600E" w:rsidP="00A80EDE">
      <w:pPr>
        <w:pStyle w:val="Style2"/>
        <w:suppressAutoHyphens/>
        <w:ind w:firstLine="0"/>
        <w:rPr>
          <w:b/>
          <w:bCs/>
          <w:color w:val="0070C0"/>
        </w:rPr>
      </w:pPr>
      <w:r w:rsidRPr="00A80EDE">
        <w:rPr>
          <w:b/>
          <w:bCs/>
          <w:color w:val="0070C0"/>
        </w:rPr>
        <w:t xml:space="preserve">Lesson 3. The Pitfall of Rating Grids </w:t>
      </w:r>
    </w:p>
    <w:p w14:paraId="594A6421" w14:textId="77777777" w:rsidR="00063329" w:rsidRPr="00A80EDE" w:rsidRDefault="002C4E66" w:rsidP="00A80EDE">
      <w:pPr>
        <w:pStyle w:val="Style2"/>
        <w:numPr>
          <w:ilvl w:val="0"/>
          <w:numId w:val="33"/>
        </w:numPr>
        <w:suppressAutoHyphens/>
      </w:pPr>
      <w:r w:rsidRPr="00A80EDE">
        <w:t>The evaluation grids are the tool through which the selected projects are intended to satisfy a multitude of needs and financing conditions, transforming the grid into a complex tool. The desire to have as much information and analysis as possible to ensure that the project meets all the financing conditions increases the volume of information and documentation requested. Practice shows that some criteria require efforts disproportionate to the informational value added and the benefit in selecting projects with impact.</w:t>
      </w:r>
    </w:p>
    <w:p w14:paraId="5FE176A2" w14:textId="05CB09FA" w:rsidR="00A420EC" w:rsidRPr="00A80EDE" w:rsidRDefault="0091600E" w:rsidP="00A80EDE">
      <w:pPr>
        <w:pStyle w:val="Style2"/>
        <w:numPr>
          <w:ilvl w:val="0"/>
          <w:numId w:val="33"/>
        </w:numPr>
        <w:suppressAutoHyphens/>
      </w:pPr>
      <w:r w:rsidRPr="00A80EDE">
        <w:rPr>
          <w:b/>
          <w:bCs/>
        </w:rPr>
        <w:t>Challenges of complex analytical criteria:</w:t>
      </w:r>
    </w:p>
    <w:p w14:paraId="67912128" w14:textId="4A54C959" w:rsidR="00A420EC" w:rsidRPr="00A80EDE" w:rsidRDefault="0091600E" w:rsidP="00A80EDE">
      <w:pPr>
        <w:numPr>
          <w:ilvl w:val="0"/>
          <w:numId w:val="26"/>
        </w:numPr>
        <w:suppressAutoHyphens/>
      </w:pPr>
      <w:r w:rsidRPr="00A80EDE">
        <w:t xml:space="preserve">Valuation grids often include requirements for complex analyses, such as </w:t>
      </w:r>
      <w:r w:rsidRPr="00A80EDE">
        <w:rPr>
          <w:rFonts w:eastAsia="MS Gothic"/>
          <w:b/>
        </w:rPr>
        <w:t>Economic Analysis</w:t>
      </w:r>
      <w:r w:rsidRPr="00A80EDE">
        <w:t xml:space="preserve"> involving sophisticated indicators (such as Net Economic Present Value – NAV) or detailed long-term projections.</w:t>
      </w:r>
    </w:p>
    <w:p w14:paraId="45B1E27C" w14:textId="31BD47AE" w:rsidR="00A420EC" w:rsidRPr="00A80EDE" w:rsidRDefault="0091600E" w:rsidP="00A80EDE">
      <w:pPr>
        <w:numPr>
          <w:ilvl w:val="0"/>
          <w:numId w:val="26"/>
        </w:numPr>
        <w:suppressAutoHyphens/>
      </w:pPr>
      <w:r w:rsidRPr="00A80EDE">
        <w:t>Although they seem to add rigor, or in the case of VANE, information on the impact of this analysis becomes, in practice, a formal exercise. The calculations are based on assumptions that are often arbitrary, difficult to verify, or that quickly lose their validity in the context of economic changes.</w:t>
      </w:r>
    </w:p>
    <w:p w14:paraId="544A788D" w14:textId="77777777" w:rsidR="00A420EC" w:rsidRPr="00A80EDE" w:rsidRDefault="0091600E" w:rsidP="00A80EDE">
      <w:pPr>
        <w:numPr>
          <w:ilvl w:val="0"/>
          <w:numId w:val="26"/>
        </w:numPr>
        <w:suppressAutoHyphens/>
      </w:pPr>
      <w:r w:rsidRPr="00A80EDE">
        <w:t>Beneficiaries (especially small ones with low administrative capacity) allocate significant time and budgets to hire consultants to develop these justifications, instead of focusing on detailed project implementation planning.</w:t>
      </w:r>
    </w:p>
    <w:p w14:paraId="47FF9A54" w14:textId="77777777" w:rsidR="00A420EC" w:rsidRPr="00A80EDE" w:rsidRDefault="0091600E" w:rsidP="00A80EDE">
      <w:pPr>
        <w:numPr>
          <w:ilvl w:val="0"/>
          <w:numId w:val="26"/>
        </w:numPr>
        <w:suppressAutoHyphens/>
      </w:pPr>
      <w:r w:rsidRPr="00A80EDE">
        <w:t>Evaluators are forced to spend valuable time checking the mathematical correctness of formulas or statistical indices, instead of evaluating the strategic impact, technical feasibility and the real ability of the applicant to carry out the project.</w:t>
      </w:r>
    </w:p>
    <w:p w14:paraId="33D071F1" w14:textId="0168F36B" w:rsidR="00A420EC" w:rsidRPr="00A80EDE" w:rsidRDefault="0091600E" w:rsidP="00A80EDE">
      <w:pPr>
        <w:pStyle w:val="Style2"/>
        <w:numPr>
          <w:ilvl w:val="0"/>
          <w:numId w:val="33"/>
        </w:numPr>
        <w:suppressAutoHyphens/>
      </w:pPr>
      <w:r w:rsidRPr="00A80EDE">
        <w:rPr>
          <w:b/>
          <w:bCs/>
        </w:rPr>
        <w:t>Discouraging effect</w:t>
      </w:r>
      <w:r w:rsidRPr="00A80EDE">
        <w:t>: Excessive formalism and the risk of rejection of the project due to calculation errors or failure to fit into statistical assumptions make the process discouraging, shifting interest from socio-economic benefits to bureaucratic formalism.</w:t>
      </w:r>
    </w:p>
    <w:p w14:paraId="2980FD92" w14:textId="77777777" w:rsidR="00063329" w:rsidRPr="00A80EDE" w:rsidRDefault="00063329" w:rsidP="00A80EDE">
      <w:pPr>
        <w:pStyle w:val="Style2"/>
        <w:suppressAutoHyphens/>
        <w:ind w:firstLine="0"/>
        <w:rPr>
          <w:b/>
          <w:bCs/>
        </w:rPr>
      </w:pPr>
    </w:p>
    <w:p w14:paraId="30B194D8" w14:textId="77777777" w:rsidR="00063329" w:rsidRPr="00A80EDE" w:rsidRDefault="00063329" w:rsidP="00A80EDE">
      <w:pPr>
        <w:pStyle w:val="Style2"/>
        <w:suppressAutoHyphens/>
        <w:ind w:firstLine="0"/>
        <w:rPr>
          <w:b/>
          <w:bCs/>
        </w:rPr>
      </w:pPr>
    </w:p>
    <w:p w14:paraId="697B95CB" w14:textId="77777777" w:rsidR="00063329" w:rsidRPr="00A80EDE" w:rsidRDefault="00063329" w:rsidP="00A80EDE">
      <w:pPr>
        <w:pStyle w:val="Style2"/>
        <w:suppressAutoHyphens/>
        <w:ind w:firstLine="0"/>
        <w:rPr>
          <w:b/>
          <w:bCs/>
        </w:rPr>
      </w:pPr>
    </w:p>
    <w:p w14:paraId="4B09E33E" w14:textId="77777777" w:rsidR="00285958" w:rsidRPr="00A80EDE" w:rsidRDefault="00285958" w:rsidP="00A80EDE">
      <w:pPr>
        <w:pStyle w:val="Style2"/>
        <w:suppressAutoHyphens/>
        <w:ind w:left="0" w:firstLine="0"/>
        <w:sectPr w:rsidR="00285958" w:rsidRPr="00A80EDE" w:rsidSect="002D0684">
          <w:pgSz w:w="11910" w:h="16850"/>
          <w:pgMar w:top="1440" w:right="930" w:bottom="1440" w:left="1260" w:header="144" w:footer="432" w:gutter="0"/>
          <w:cols w:space="708"/>
        </w:sectPr>
      </w:pPr>
    </w:p>
    <w:p w14:paraId="6EFD151D" w14:textId="77777777" w:rsidR="00A420EC" w:rsidRPr="00A80EDE" w:rsidRDefault="0091600E" w:rsidP="00A80EDE">
      <w:pPr>
        <w:pStyle w:val="Titlu1"/>
        <w:suppressAutoHyphens/>
        <w:rPr>
          <w:rFonts w:hint="eastAsia"/>
        </w:rPr>
      </w:pPr>
      <w:bookmarkStart w:id="33" w:name="_Toc216119119"/>
      <w:r w:rsidRPr="00A80EDE">
        <w:rPr>
          <w:rFonts w:hint="eastAsia"/>
        </w:rPr>
        <w:lastRenderedPageBreak/>
        <w:t>Recommendations</w:t>
      </w:r>
      <w:bookmarkEnd w:id="33"/>
    </w:p>
    <w:tbl>
      <w:tblPr>
        <w:tblStyle w:val="Tabelgril"/>
        <w:tblW w:w="9805" w:type="dxa"/>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625"/>
        <w:gridCol w:w="9180"/>
      </w:tblGrid>
      <w:tr w:rsidR="0020030B" w:rsidRPr="00A80EDE" w14:paraId="7D778451" w14:textId="77777777" w:rsidTr="00BA3B66">
        <w:tc>
          <w:tcPr>
            <w:tcW w:w="625" w:type="dxa"/>
            <w:shd w:val="clear" w:color="auto" w:fill="0F4761" w:themeFill="accent1" w:themeFillShade="BF"/>
          </w:tcPr>
          <w:p w14:paraId="0C7F5E8E" w14:textId="0BC79190" w:rsidR="0020030B" w:rsidRPr="00A80EDE" w:rsidRDefault="0064166B" w:rsidP="00A80EDE">
            <w:pPr>
              <w:suppressAutoHyphens/>
              <w:rPr>
                <w:rFonts w:ascii="Arial" w:hAnsi="Arial" w:cs="Arial"/>
                <w:b/>
                <w:szCs w:val="20"/>
              </w:rPr>
            </w:pPr>
            <w:r w:rsidRPr="00A80EDE">
              <w:rPr>
                <w:rFonts w:ascii="Arial" w:hAnsi="Arial" w:cs="Arial"/>
                <w:b/>
                <w:szCs w:val="20"/>
              </w:rPr>
              <w:t>No.</w:t>
            </w:r>
          </w:p>
        </w:tc>
        <w:tc>
          <w:tcPr>
            <w:tcW w:w="9180" w:type="dxa"/>
            <w:shd w:val="clear" w:color="auto" w:fill="0F4761" w:themeFill="accent1" w:themeFillShade="BF"/>
          </w:tcPr>
          <w:p w14:paraId="50AF5C55" w14:textId="77777777" w:rsidR="0020030B" w:rsidRPr="00A80EDE" w:rsidRDefault="0020030B" w:rsidP="00A80EDE">
            <w:pPr>
              <w:suppressAutoHyphens/>
              <w:rPr>
                <w:rFonts w:ascii="Arial" w:hAnsi="Arial" w:cs="Arial"/>
                <w:b/>
                <w:szCs w:val="20"/>
              </w:rPr>
            </w:pPr>
            <w:r w:rsidRPr="00A80EDE">
              <w:rPr>
                <w:rFonts w:ascii="Arial" w:hAnsi="Arial" w:cs="Arial"/>
                <w:b/>
                <w:szCs w:val="20"/>
              </w:rPr>
              <w:t>Strategic recommendation</w:t>
            </w:r>
          </w:p>
          <w:p w14:paraId="0D5B2A6E" w14:textId="727607BC" w:rsidR="0020030B" w:rsidRPr="00A80EDE" w:rsidRDefault="0020030B" w:rsidP="00A80EDE">
            <w:pPr>
              <w:suppressAutoHyphens/>
              <w:rPr>
                <w:rFonts w:ascii="Arial" w:hAnsi="Arial" w:cs="Arial"/>
                <w:b/>
                <w:szCs w:val="20"/>
              </w:rPr>
            </w:pPr>
            <w:r w:rsidRPr="00A80EDE">
              <w:rPr>
                <w:rFonts w:ascii="Arial" w:hAnsi="Arial" w:cs="Arial"/>
                <w:b/>
                <w:szCs w:val="20"/>
              </w:rPr>
              <w:t>Operationalization</w:t>
            </w:r>
          </w:p>
        </w:tc>
      </w:tr>
      <w:tr w:rsidR="00546D2A" w:rsidRPr="00A80EDE" w14:paraId="5AF85CC4" w14:textId="77777777" w:rsidTr="00BA3B66">
        <w:trPr>
          <w:trHeight w:val="4067"/>
        </w:trPr>
        <w:tc>
          <w:tcPr>
            <w:tcW w:w="625" w:type="dxa"/>
          </w:tcPr>
          <w:p w14:paraId="5ED5433A" w14:textId="050BC0B2" w:rsidR="00546D2A" w:rsidRPr="00A80EDE" w:rsidRDefault="00546D2A" w:rsidP="00A80EDE">
            <w:pPr>
              <w:suppressAutoHyphens/>
              <w:rPr>
                <w:rFonts w:ascii="Arial" w:hAnsi="Arial" w:cs="Arial"/>
                <w:szCs w:val="20"/>
              </w:rPr>
            </w:pPr>
            <w:r w:rsidRPr="00A80EDE">
              <w:rPr>
                <w:rFonts w:ascii="Arial" w:hAnsi="Arial" w:cs="Arial"/>
                <w:szCs w:val="20"/>
              </w:rPr>
              <w:t>1</w:t>
            </w:r>
          </w:p>
        </w:tc>
        <w:tc>
          <w:tcPr>
            <w:tcW w:w="9180" w:type="dxa"/>
          </w:tcPr>
          <w:p w14:paraId="43C4FDC8" w14:textId="77777777" w:rsidR="005A407C" w:rsidRPr="00A80EDE" w:rsidRDefault="00AD5151" w:rsidP="00A80EDE">
            <w:pPr>
              <w:suppressAutoHyphens/>
              <w:rPr>
                <w:rFonts w:ascii="Arial" w:hAnsi="Arial" w:cs="Arial"/>
                <w:b/>
                <w:szCs w:val="20"/>
              </w:rPr>
            </w:pPr>
            <w:r w:rsidRPr="00A80EDE">
              <w:rPr>
                <w:rFonts w:ascii="Arial" w:eastAsia="MS Gothic" w:hAnsi="Arial" w:cs="Arial"/>
                <w:b/>
                <w:szCs w:val="20"/>
              </w:rPr>
              <w:t>Continuation of the process of simplifying the implementation processes of the PR Center 2021–2027</w:t>
            </w:r>
            <w:r w:rsidRPr="00A80EDE">
              <w:rPr>
                <w:rFonts w:ascii="Arial" w:hAnsi="Arial" w:cs="Arial"/>
                <w:b/>
                <w:szCs w:val="20"/>
              </w:rPr>
              <w:t xml:space="preserve">, directly applicable to the remaining calls in the current programming period and as a strategic direction for the post-2027 period. </w:t>
            </w:r>
          </w:p>
          <w:p w14:paraId="55D93C5D" w14:textId="0F7EE495" w:rsidR="00AD5151" w:rsidRPr="00A80EDE" w:rsidRDefault="005A407C" w:rsidP="00A80EDE">
            <w:pPr>
              <w:suppressAutoHyphens/>
              <w:rPr>
                <w:rFonts w:ascii="Arial" w:hAnsi="Arial" w:cs="Arial"/>
                <w:szCs w:val="20"/>
              </w:rPr>
            </w:pPr>
            <w:r w:rsidRPr="00A80EDE">
              <w:rPr>
                <w:rFonts w:ascii="Arial" w:hAnsi="Arial" w:cs="Arial"/>
                <w:bCs/>
                <w:szCs w:val="20"/>
              </w:rPr>
              <w:t xml:space="preserve">Simplification should aim in particular at: </w:t>
            </w:r>
            <w:r w:rsidR="00AD5151" w:rsidRPr="00A80EDE">
              <w:rPr>
                <w:rFonts w:ascii="Arial" w:eastAsia="MS Gothic" w:hAnsi="Arial" w:cs="Arial"/>
                <w:bCs/>
                <w:szCs w:val="20"/>
              </w:rPr>
              <w:t xml:space="preserve">simplifying </w:t>
            </w:r>
            <w:r w:rsidR="00620B46" w:rsidRPr="00A80EDE">
              <w:rPr>
                <w:rFonts w:ascii="Arial" w:eastAsia="MS Gothic" w:hAnsi="Arial" w:cs="Arial"/>
                <w:bCs/>
                <w:szCs w:val="20"/>
              </w:rPr>
              <w:t>evaluation</w:t>
            </w:r>
            <w:r w:rsidR="00AD5151" w:rsidRPr="00A80EDE">
              <w:rPr>
                <w:rFonts w:ascii="Arial" w:eastAsia="MS Gothic" w:hAnsi="Arial" w:cs="Arial"/>
                <w:bCs/>
                <w:szCs w:val="20"/>
              </w:rPr>
              <w:t xml:space="preserve"> guides and grids </w:t>
            </w:r>
            <w:r w:rsidR="00AD5151" w:rsidRPr="00A80EDE">
              <w:rPr>
                <w:rFonts w:ascii="Arial" w:hAnsi="Arial" w:cs="Arial"/>
                <w:szCs w:val="20"/>
              </w:rPr>
              <w:t>by:</w:t>
            </w:r>
          </w:p>
          <w:p w14:paraId="09EDADE8" w14:textId="1D8F29FC" w:rsidR="00AD5151" w:rsidRPr="00A80EDE" w:rsidRDefault="00AD5151" w:rsidP="00A80EDE">
            <w:pPr>
              <w:numPr>
                <w:ilvl w:val="0"/>
                <w:numId w:val="34"/>
              </w:numPr>
              <w:suppressAutoHyphens/>
              <w:spacing w:before="60" w:afterLines="60" w:after="144"/>
              <w:rPr>
                <w:rFonts w:ascii="Arial" w:hAnsi="Arial" w:cs="Arial"/>
                <w:szCs w:val="20"/>
              </w:rPr>
            </w:pPr>
            <w:r w:rsidRPr="00A80EDE">
              <w:rPr>
                <w:rFonts w:ascii="Arial" w:hAnsi="Arial" w:cs="Arial"/>
                <w:szCs w:val="20"/>
              </w:rPr>
              <w:t xml:space="preserve">revising or eliminating criteria that do not bring real value to the quality </w:t>
            </w:r>
            <w:r w:rsidR="00620B46" w:rsidRPr="00A80EDE">
              <w:rPr>
                <w:rFonts w:ascii="Arial" w:hAnsi="Arial" w:cs="Arial"/>
                <w:szCs w:val="20"/>
              </w:rPr>
              <w:t>evaluation</w:t>
            </w:r>
            <w:r w:rsidRPr="00A80EDE">
              <w:rPr>
                <w:rFonts w:ascii="Arial" w:hAnsi="Arial" w:cs="Arial"/>
                <w:szCs w:val="20"/>
              </w:rPr>
              <w:t xml:space="preserve"> of projects;</w:t>
            </w:r>
          </w:p>
          <w:p w14:paraId="7E3542E4" w14:textId="77777777" w:rsidR="00AD5151" w:rsidRPr="00A80EDE" w:rsidRDefault="00AD5151" w:rsidP="00A80EDE">
            <w:pPr>
              <w:numPr>
                <w:ilvl w:val="0"/>
                <w:numId w:val="34"/>
              </w:numPr>
              <w:suppressAutoHyphens/>
              <w:spacing w:before="60" w:afterLines="60" w:after="144"/>
              <w:rPr>
                <w:rFonts w:ascii="Arial" w:hAnsi="Arial" w:cs="Arial"/>
                <w:szCs w:val="20"/>
              </w:rPr>
            </w:pPr>
            <w:r w:rsidRPr="00A80EDE">
              <w:rPr>
                <w:rFonts w:ascii="Arial" w:hAnsi="Arial" w:cs="Arial"/>
                <w:szCs w:val="20"/>
              </w:rPr>
              <w:t>automating the criteria that allow this;</w:t>
            </w:r>
          </w:p>
          <w:p w14:paraId="5C542C13" w14:textId="77777777" w:rsidR="00AD5151" w:rsidRPr="00A80EDE" w:rsidRDefault="00AD5151" w:rsidP="00A80EDE">
            <w:pPr>
              <w:numPr>
                <w:ilvl w:val="0"/>
                <w:numId w:val="34"/>
              </w:numPr>
              <w:suppressAutoHyphens/>
              <w:spacing w:before="60" w:afterLines="60" w:after="144"/>
              <w:rPr>
                <w:rFonts w:ascii="Arial" w:hAnsi="Arial" w:cs="Arial"/>
                <w:szCs w:val="20"/>
              </w:rPr>
            </w:pPr>
            <w:r w:rsidRPr="00A80EDE">
              <w:rPr>
                <w:rFonts w:ascii="Arial" w:hAnsi="Arial" w:cs="Arial"/>
                <w:szCs w:val="20"/>
              </w:rPr>
              <w:t>transferring all the criteria of the type "UAT profile / unit / road / company" or standard statistical indicators in the simplification logic, through pre-calculation at call level and digitized criteria, avoiding manual evaluation project by project.</w:t>
            </w:r>
          </w:p>
          <w:p w14:paraId="08363B62" w14:textId="65144F07" w:rsidR="00063329" w:rsidRPr="00A80EDE" w:rsidRDefault="00063329" w:rsidP="00A80EDE">
            <w:pPr>
              <w:suppressAutoHyphens/>
              <w:rPr>
                <w:rFonts w:ascii="Arial" w:hAnsi="Arial" w:cs="Arial"/>
                <w:b/>
                <w:bCs/>
                <w:szCs w:val="20"/>
              </w:rPr>
            </w:pPr>
            <w:r w:rsidRPr="00A80EDE">
              <w:rPr>
                <w:rFonts w:ascii="Arial" w:eastAsia="MS Gothic" w:hAnsi="Arial" w:cs="Arial"/>
                <w:bCs/>
                <w:szCs w:val="20"/>
              </w:rPr>
              <w:t>Taking the necessary steps</w:t>
            </w:r>
            <w:r w:rsidR="00AD5151" w:rsidRPr="00A80EDE">
              <w:rPr>
                <w:rFonts w:ascii="Arial" w:eastAsia="MS Gothic" w:hAnsi="Arial" w:cs="Arial"/>
                <w:szCs w:val="20"/>
              </w:rPr>
              <w:t xml:space="preserve"> to the Ministry of Investments and European Projects</w:t>
            </w:r>
            <w:r w:rsidR="00AD5151" w:rsidRPr="00A80EDE">
              <w:rPr>
                <w:rFonts w:ascii="Arial" w:hAnsi="Arial" w:cs="Arial"/>
                <w:szCs w:val="20"/>
              </w:rPr>
              <w:t xml:space="preserve"> to improve the functionalities of MySMIS: interoperability with other applications of the authorities, removal/deactivation of fields not relevant to calls, retrieval of documents already uploaded, harmonization of the interfaces of the beneficiaries with those of the </w:t>
            </w:r>
            <w:r w:rsidR="005A6DC5" w:rsidRPr="00A80EDE">
              <w:rPr>
                <w:rFonts w:eastAsia="Arial"/>
                <w:szCs w:val="22"/>
              </w:rPr>
              <w:t>AM</w:t>
            </w:r>
            <w:r w:rsidR="00AD5151" w:rsidRPr="00A80EDE">
              <w:rPr>
                <w:rFonts w:ascii="Arial" w:hAnsi="Arial" w:cs="Arial"/>
                <w:szCs w:val="20"/>
              </w:rPr>
              <w:t xml:space="preserve"> for synchronization of the monitoring of the status of the projects.</w:t>
            </w:r>
            <w:r w:rsidR="00FD385A">
              <w:rPr>
                <w:rFonts w:ascii="Arial" w:hAnsi="Arial" w:cs="Arial"/>
                <w:szCs w:val="20"/>
              </w:rPr>
              <w:t xml:space="preserve"> </w:t>
            </w:r>
            <w:r w:rsidR="006A7A4E" w:rsidRPr="00A80EDE">
              <w:rPr>
                <w:rFonts w:ascii="Arial" w:hAnsi="Arial" w:cs="Arial"/>
                <w:b/>
                <w:bCs/>
                <w:szCs w:val="20"/>
              </w:rPr>
              <w:t>tag.</w:t>
            </w:r>
          </w:p>
          <w:p w14:paraId="368100C8" w14:textId="7F840EBC" w:rsidR="00546D2A" w:rsidRPr="00A80EDE" w:rsidRDefault="00874C6E" w:rsidP="00A80EDE">
            <w:pPr>
              <w:suppressAutoHyphens/>
              <w:rPr>
                <w:rFonts w:ascii="Arial" w:hAnsi="Arial" w:cs="Arial"/>
                <w:b/>
                <w:szCs w:val="20"/>
              </w:rPr>
            </w:pPr>
            <w:r w:rsidRPr="00A80EDE">
              <w:rPr>
                <w:rFonts w:ascii="Arial" w:hAnsi="Arial" w:cs="Arial"/>
                <w:b/>
                <w:szCs w:val="20"/>
              </w:rPr>
              <w:t>Responsibility: AM PRC</w:t>
            </w:r>
          </w:p>
        </w:tc>
      </w:tr>
      <w:tr w:rsidR="00A420EC" w:rsidRPr="00A80EDE" w14:paraId="5D47E8E1" w14:textId="77777777" w:rsidTr="00BA3B66">
        <w:tc>
          <w:tcPr>
            <w:tcW w:w="625" w:type="dxa"/>
          </w:tcPr>
          <w:p w14:paraId="5D37888D" w14:textId="34DF2EE9" w:rsidR="00A420EC" w:rsidRPr="00A80EDE" w:rsidRDefault="00B33942" w:rsidP="00A80EDE">
            <w:pPr>
              <w:suppressAutoHyphens/>
              <w:rPr>
                <w:rFonts w:ascii="Arial" w:hAnsi="Arial" w:cs="Arial"/>
                <w:szCs w:val="20"/>
              </w:rPr>
            </w:pPr>
            <w:r w:rsidRPr="00A80EDE">
              <w:rPr>
                <w:rFonts w:ascii="Arial" w:hAnsi="Arial" w:cs="Arial"/>
                <w:szCs w:val="20"/>
              </w:rPr>
              <w:t>2</w:t>
            </w:r>
          </w:p>
        </w:tc>
        <w:tc>
          <w:tcPr>
            <w:tcW w:w="9180" w:type="dxa"/>
          </w:tcPr>
          <w:p w14:paraId="18476767" w14:textId="7CEA7034" w:rsidR="00A420EC" w:rsidRPr="00A80EDE" w:rsidRDefault="007F2A2D" w:rsidP="00A80EDE">
            <w:pPr>
              <w:suppressAutoHyphens/>
              <w:spacing w:before="0" w:after="0"/>
              <w:rPr>
                <w:rFonts w:ascii="Arial" w:hAnsi="Arial" w:cs="Arial"/>
                <w:b/>
                <w:szCs w:val="20"/>
              </w:rPr>
            </w:pPr>
            <w:r w:rsidRPr="00A80EDE">
              <w:rPr>
                <w:rFonts w:ascii="Arial" w:hAnsi="Arial" w:cs="Arial"/>
                <w:b/>
                <w:szCs w:val="20"/>
              </w:rPr>
              <w:t>Continue to support and strengthen the administrative capacity of the region through the implementation of phase II of the "Roadmap for strengthening administrative capacity" (2026–2029).</w:t>
            </w:r>
          </w:p>
          <w:p w14:paraId="457F4E78" w14:textId="77777777" w:rsidR="00AC638E" w:rsidRPr="00A80EDE" w:rsidRDefault="00AC638E" w:rsidP="00A80EDE">
            <w:pPr>
              <w:suppressAutoHyphens/>
              <w:spacing w:before="0" w:after="0"/>
              <w:rPr>
                <w:rFonts w:ascii="Arial" w:hAnsi="Arial" w:cs="Arial"/>
                <w:szCs w:val="20"/>
              </w:rPr>
            </w:pPr>
          </w:p>
          <w:p w14:paraId="3006116E" w14:textId="51DE5189" w:rsidR="00B34EB1" w:rsidRPr="00A80EDE" w:rsidRDefault="002D0FC4" w:rsidP="00A80EDE">
            <w:pPr>
              <w:suppressAutoHyphens/>
              <w:spacing w:before="0" w:after="0"/>
              <w:rPr>
                <w:rFonts w:ascii="Arial" w:hAnsi="Arial" w:cs="Arial"/>
                <w:szCs w:val="20"/>
              </w:rPr>
            </w:pPr>
            <w:r w:rsidRPr="00A80EDE">
              <w:rPr>
                <w:rFonts w:ascii="Arial" w:hAnsi="Arial" w:cs="Arial"/>
                <w:szCs w:val="20"/>
              </w:rPr>
              <w:t xml:space="preserve">The objective of this stage may be to create an </w:t>
            </w:r>
            <w:r w:rsidR="00B34EB1" w:rsidRPr="00A80EDE">
              <w:rPr>
                <w:rFonts w:ascii="Arial" w:hAnsi="Arial" w:cs="Arial"/>
                <w:bCs/>
                <w:szCs w:val="20"/>
              </w:rPr>
              <w:t>adaptive and emerging regional implementation system</w:t>
            </w:r>
            <w:r w:rsidR="00B34EB1" w:rsidRPr="00A80EDE">
              <w:rPr>
                <w:rFonts w:ascii="Arial" w:hAnsi="Arial" w:cs="Arial"/>
                <w:b/>
                <w:szCs w:val="20"/>
              </w:rPr>
              <w:t>,</w:t>
            </w:r>
            <w:r w:rsidR="00B34EB1" w:rsidRPr="00A80EDE">
              <w:rPr>
                <w:rFonts w:ascii="Arial" w:hAnsi="Arial" w:cs="Arial"/>
                <w:szCs w:val="20"/>
              </w:rPr>
              <w:t xml:space="preserve"> in which the AM PR Centre, beneficiaries, territorial partners and central institutions work integrated, based on continuous learning, flexible processes and results-orientation.</w:t>
            </w:r>
          </w:p>
          <w:p w14:paraId="2F6E1913" w14:textId="77777777" w:rsidR="004E1D1A" w:rsidRPr="00A80EDE" w:rsidRDefault="004E1D1A" w:rsidP="00A80EDE">
            <w:pPr>
              <w:suppressAutoHyphens/>
              <w:spacing w:before="0" w:after="0"/>
              <w:rPr>
                <w:rFonts w:ascii="Arial" w:hAnsi="Arial" w:cs="Arial"/>
                <w:szCs w:val="20"/>
              </w:rPr>
            </w:pPr>
          </w:p>
          <w:p w14:paraId="5C35FCC2" w14:textId="77777777" w:rsidR="008E731C" w:rsidRPr="00A80EDE" w:rsidRDefault="0045530A" w:rsidP="00A80EDE">
            <w:pPr>
              <w:suppressAutoHyphens/>
              <w:spacing w:before="0" w:after="0"/>
              <w:rPr>
                <w:rFonts w:ascii="Arial" w:hAnsi="Arial" w:cs="Arial"/>
                <w:szCs w:val="20"/>
              </w:rPr>
            </w:pPr>
            <w:r w:rsidRPr="00A80EDE">
              <w:rPr>
                <w:rFonts w:ascii="Arial" w:hAnsi="Arial" w:cs="Arial"/>
                <w:szCs w:val="20"/>
              </w:rPr>
              <w:t>The proposed directions for Phase II aim, first of all, at</w:t>
            </w:r>
          </w:p>
          <w:p w14:paraId="12866F5F" w14:textId="43E844FA" w:rsidR="00916B2C" w:rsidRPr="00A80EDE" w:rsidRDefault="0045530A" w:rsidP="00A80EDE">
            <w:pPr>
              <w:numPr>
                <w:ilvl w:val="0"/>
                <w:numId w:val="37"/>
              </w:numPr>
              <w:suppressAutoHyphens/>
              <w:spacing w:before="60" w:afterLines="60" w:after="144"/>
              <w:rPr>
                <w:rFonts w:ascii="Arial" w:hAnsi="Arial" w:cs="Arial"/>
                <w:szCs w:val="20"/>
              </w:rPr>
            </w:pPr>
            <w:r w:rsidRPr="00A80EDE">
              <w:rPr>
                <w:rFonts w:ascii="Arial" w:hAnsi="Arial" w:cs="Arial"/>
                <w:szCs w:val="20"/>
              </w:rPr>
              <w:t xml:space="preserve">increasing the agility and professionalization of AM staff and </w:t>
            </w:r>
            <w:r w:rsidR="00F94785" w:rsidRPr="00A80EDE">
              <w:rPr>
                <w:rFonts w:ascii="Arial" w:hAnsi="Arial" w:cs="Arial"/>
                <w:szCs w:val="20"/>
              </w:rPr>
              <w:t>UAT</w:t>
            </w:r>
            <w:r w:rsidRPr="00A80EDE">
              <w:rPr>
                <w:rFonts w:ascii="Arial" w:hAnsi="Arial" w:cs="Arial"/>
                <w:szCs w:val="20"/>
              </w:rPr>
              <w:t xml:space="preserve">s, through continuous training, adaptive leadership, development of transversal skills and digitization of internal processes, in order to reduce the administrative burden. </w:t>
            </w:r>
          </w:p>
          <w:p w14:paraId="040B7576" w14:textId="40AAF11A" w:rsidR="00927FCE" w:rsidRPr="00A80EDE" w:rsidRDefault="007D36B9" w:rsidP="00A80EDE">
            <w:pPr>
              <w:numPr>
                <w:ilvl w:val="0"/>
                <w:numId w:val="37"/>
              </w:numPr>
              <w:suppressAutoHyphens/>
              <w:spacing w:before="60" w:afterLines="60" w:after="144"/>
              <w:rPr>
                <w:rFonts w:ascii="Arial" w:hAnsi="Arial" w:cs="Arial"/>
                <w:szCs w:val="20"/>
              </w:rPr>
            </w:pPr>
            <w:r w:rsidRPr="00A80EDE">
              <w:rPr>
                <w:rFonts w:ascii="Arial" w:hAnsi="Arial" w:cs="Arial"/>
                <w:szCs w:val="20"/>
              </w:rPr>
              <w:t xml:space="preserve">moving from isolated projects to financing integrated development strategies, by supporting </w:t>
            </w:r>
            <w:r w:rsidR="00F94785" w:rsidRPr="00A80EDE">
              <w:rPr>
                <w:rFonts w:ascii="Arial" w:hAnsi="Arial" w:cs="Arial"/>
                <w:szCs w:val="20"/>
              </w:rPr>
              <w:t>UAT</w:t>
            </w:r>
            <w:r w:rsidRPr="00A80EDE">
              <w:rPr>
                <w:rFonts w:ascii="Arial" w:hAnsi="Arial" w:cs="Arial"/>
                <w:szCs w:val="20"/>
              </w:rPr>
              <w:t>s in their development, creating functional urban-rural areas, territorial laboratories and systematic use of data.</w:t>
            </w:r>
          </w:p>
          <w:p w14:paraId="7AFB490D" w14:textId="0F9A193A" w:rsidR="0045530A" w:rsidRPr="00A80EDE" w:rsidRDefault="0045530A" w:rsidP="00A80EDE">
            <w:pPr>
              <w:numPr>
                <w:ilvl w:val="0"/>
                <w:numId w:val="37"/>
              </w:numPr>
              <w:suppressAutoHyphens/>
              <w:spacing w:before="60" w:afterLines="60" w:after="144"/>
              <w:rPr>
                <w:rFonts w:ascii="Arial" w:hAnsi="Arial" w:cs="Arial"/>
                <w:szCs w:val="20"/>
              </w:rPr>
            </w:pPr>
            <w:r w:rsidRPr="00A80EDE">
              <w:rPr>
                <w:rFonts w:ascii="Arial" w:hAnsi="Arial" w:cs="Arial"/>
                <w:szCs w:val="20"/>
              </w:rPr>
              <w:t xml:space="preserve">strengthening the role of AM as a strategic facilitator, through integrated one-stop-shop services, differentiated procedural and strategic support, learning networks and effective feedback mechanisms. </w:t>
            </w:r>
          </w:p>
          <w:p w14:paraId="4913FE26" w14:textId="2870BE14" w:rsidR="002D0FC4" w:rsidRPr="00A80EDE" w:rsidRDefault="004E1D1A" w:rsidP="00A80EDE">
            <w:pPr>
              <w:suppressAutoHyphens/>
              <w:spacing w:before="0" w:after="0"/>
              <w:rPr>
                <w:rFonts w:ascii="Arial" w:hAnsi="Arial" w:cs="Arial"/>
                <w:szCs w:val="20"/>
              </w:rPr>
            </w:pPr>
            <w:r w:rsidRPr="00A80EDE">
              <w:rPr>
                <w:rFonts w:ascii="Arial" w:hAnsi="Arial" w:cs="Arial"/>
                <w:szCs w:val="20"/>
              </w:rPr>
              <w:t xml:space="preserve">An implementation plan structured on the five pillars of the OECD model is proposed in Annex 1.1.  </w:t>
            </w:r>
          </w:p>
          <w:p w14:paraId="04A9E00F" w14:textId="5FCE9BD7" w:rsidR="00A420EC" w:rsidRPr="00A80EDE" w:rsidRDefault="004F0241" w:rsidP="00A80EDE">
            <w:pPr>
              <w:suppressAutoHyphens/>
              <w:rPr>
                <w:rFonts w:ascii="Arial" w:hAnsi="Arial" w:cs="Arial"/>
                <w:szCs w:val="20"/>
              </w:rPr>
            </w:pPr>
            <w:r w:rsidRPr="00A80EDE">
              <w:rPr>
                <w:rFonts w:ascii="Arial" w:hAnsi="Arial" w:cs="Arial"/>
                <w:b/>
                <w:szCs w:val="20"/>
              </w:rPr>
              <w:t>Responsibility: AM PRC</w:t>
            </w:r>
          </w:p>
        </w:tc>
      </w:tr>
      <w:tr w:rsidR="00A420EC" w:rsidRPr="00A80EDE" w14:paraId="49F0B903" w14:textId="77777777" w:rsidTr="00BA3B66">
        <w:tc>
          <w:tcPr>
            <w:tcW w:w="625" w:type="dxa"/>
          </w:tcPr>
          <w:p w14:paraId="3885E399" w14:textId="77777777" w:rsidR="00A420EC" w:rsidRPr="00A80EDE" w:rsidRDefault="0091600E" w:rsidP="00A80EDE">
            <w:pPr>
              <w:suppressAutoHyphens/>
              <w:rPr>
                <w:rFonts w:ascii="Arial" w:hAnsi="Arial" w:cs="Arial"/>
                <w:szCs w:val="20"/>
              </w:rPr>
            </w:pPr>
            <w:r w:rsidRPr="00A80EDE">
              <w:rPr>
                <w:rFonts w:ascii="Arial" w:hAnsi="Arial" w:cs="Arial"/>
                <w:szCs w:val="20"/>
              </w:rPr>
              <w:t>3</w:t>
            </w:r>
          </w:p>
        </w:tc>
        <w:tc>
          <w:tcPr>
            <w:tcW w:w="9180" w:type="dxa"/>
          </w:tcPr>
          <w:p w14:paraId="03794398" w14:textId="78F05AD1" w:rsidR="00A420EC" w:rsidRPr="00A80EDE" w:rsidRDefault="0091600E" w:rsidP="00A80EDE">
            <w:pPr>
              <w:suppressAutoHyphens/>
              <w:rPr>
                <w:rFonts w:ascii="Arial" w:hAnsi="Arial" w:cs="Arial"/>
                <w:b/>
                <w:szCs w:val="20"/>
              </w:rPr>
            </w:pPr>
            <w:r w:rsidRPr="00A80EDE">
              <w:rPr>
                <w:rFonts w:ascii="Arial" w:hAnsi="Arial" w:cs="Arial"/>
                <w:b/>
                <w:szCs w:val="20"/>
              </w:rPr>
              <w:t xml:space="preserve">Strategic capacity development of </w:t>
            </w:r>
            <w:r w:rsidR="00F94785" w:rsidRPr="00A80EDE">
              <w:rPr>
                <w:rFonts w:ascii="Arial" w:hAnsi="Arial" w:cs="Arial"/>
                <w:b/>
                <w:szCs w:val="20"/>
              </w:rPr>
              <w:t>UAT</w:t>
            </w:r>
            <w:r w:rsidRPr="00A80EDE">
              <w:rPr>
                <w:rFonts w:ascii="Arial" w:hAnsi="Arial" w:cs="Arial"/>
                <w:b/>
                <w:szCs w:val="20"/>
              </w:rPr>
              <w:t xml:space="preserve">s </w:t>
            </w:r>
          </w:p>
          <w:p w14:paraId="7AAAD620" w14:textId="1BA595FB" w:rsidR="00A420EC" w:rsidRPr="00A80EDE" w:rsidRDefault="00973791" w:rsidP="00A80EDE">
            <w:pPr>
              <w:suppressAutoHyphens/>
              <w:rPr>
                <w:rFonts w:ascii="Arial" w:hAnsi="Arial" w:cs="Arial"/>
                <w:szCs w:val="20"/>
              </w:rPr>
            </w:pPr>
            <w:r w:rsidRPr="00A80EDE">
              <w:rPr>
                <w:rFonts w:ascii="Arial" w:hAnsi="Arial" w:cs="Arial"/>
                <w:szCs w:val="20"/>
              </w:rPr>
              <w:lastRenderedPageBreak/>
              <w:t xml:space="preserve">Continuing support for the capacity development of </w:t>
            </w:r>
            <w:r w:rsidR="00F94785" w:rsidRPr="00A80EDE">
              <w:rPr>
                <w:rFonts w:ascii="Arial" w:hAnsi="Arial" w:cs="Arial"/>
                <w:szCs w:val="20"/>
              </w:rPr>
              <w:t>UAT</w:t>
            </w:r>
            <w:r w:rsidRPr="00A80EDE">
              <w:rPr>
                <w:rFonts w:ascii="Arial" w:hAnsi="Arial" w:cs="Arial"/>
                <w:szCs w:val="20"/>
              </w:rPr>
              <w:t xml:space="preserve">s is essential both to ensure the impact of projects and to adopt funding mechanisms based on holding </w:t>
            </w:r>
            <w:r w:rsidR="00F94785" w:rsidRPr="00A80EDE">
              <w:rPr>
                <w:rFonts w:ascii="Arial" w:hAnsi="Arial" w:cs="Arial"/>
                <w:szCs w:val="20"/>
              </w:rPr>
              <w:t>UAT</w:t>
            </w:r>
            <w:r w:rsidRPr="00A80EDE">
              <w:rPr>
                <w:rFonts w:ascii="Arial" w:hAnsi="Arial" w:cs="Arial"/>
                <w:szCs w:val="20"/>
              </w:rPr>
              <w:t>s accountable for results and objectives. The recommendation can be implemented by:</w:t>
            </w:r>
          </w:p>
          <w:p w14:paraId="06E571B4" w14:textId="719858C7" w:rsidR="00A420EC" w:rsidRPr="00A80EDE" w:rsidRDefault="007B1D47" w:rsidP="00A80EDE">
            <w:pPr>
              <w:numPr>
                <w:ilvl w:val="0"/>
                <w:numId w:val="38"/>
              </w:numPr>
              <w:suppressAutoHyphens/>
              <w:spacing w:before="60" w:afterLines="60" w:after="144"/>
              <w:rPr>
                <w:rFonts w:ascii="Arial" w:hAnsi="Arial" w:cs="Arial"/>
                <w:szCs w:val="20"/>
              </w:rPr>
            </w:pPr>
            <w:r w:rsidRPr="00A80EDE">
              <w:rPr>
                <w:rFonts w:ascii="Arial" w:hAnsi="Arial" w:cs="Arial"/>
                <w:szCs w:val="20"/>
              </w:rPr>
              <w:t>Creation of a regional support programme for the development of integrated strategies</w:t>
            </w:r>
          </w:p>
          <w:p w14:paraId="07741952" w14:textId="2948D223" w:rsidR="0091272F" w:rsidRPr="00A80EDE" w:rsidRDefault="004D3D0D" w:rsidP="00A80EDE">
            <w:pPr>
              <w:numPr>
                <w:ilvl w:val="0"/>
                <w:numId w:val="38"/>
              </w:numPr>
              <w:suppressAutoHyphens/>
              <w:spacing w:before="60" w:afterLines="60" w:after="144"/>
              <w:rPr>
                <w:rFonts w:ascii="Arial" w:hAnsi="Arial" w:cs="Arial"/>
                <w:szCs w:val="20"/>
              </w:rPr>
            </w:pPr>
            <w:r w:rsidRPr="00A80EDE">
              <w:rPr>
                <w:rFonts w:ascii="Arial" w:hAnsi="Arial" w:cs="Arial"/>
                <w:szCs w:val="20"/>
              </w:rPr>
              <w:t xml:space="preserve">Support for the development of the capacity of inter-community development associations for both strategy development and implementation. </w:t>
            </w:r>
          </w:p>
          <w:p w14:paraId="4DAB8C3D" w14:textId="78BE52CF" w:rsidR="00A420EC" w:rsidRPr="00A80EDE" w:rsidRDefault="00874C6E" w:rsidP="00A80EDE">
            <w:pPr>
              <w:suppressAutoHyphens/>
              <w:rPr>
                <w:rFonts w:ascii="Arial" w:hAnsi="Arial" w:cs="Arial"/>
                <w:b/>
                <w:szCs w:val="20"/>
              </w:rPr>
            </w:pPr>
            <w:r w:rsidRPr="00A80EDE">
              <w:rPr>
                <w:rFonts w:ascii="Arial" w:hAnsi="Arial" w:cs="Arial"/>
                <w:b/>
                <w:szCs w:val="20"/>
              </w:rPr>
              <w:t xml:space="preserve">Responsibility: ADR, AM PRC, </w:t>
            </w:r>
            <w:r w:rsidR="0016425D" w:rsidRPr="00A80EDE">
              <w:rPr>
                <w:rFonts w:ascii="Arial" w:hAnsi="Arial" w:cs="Arial"/>
                <w:b/>
                <w:bCs/>
                <w:szCs w:val="20"/>
              </w:rPr>
              <w:t>UAT</w:t>
            </w:r>
          </w:p>
        </w:tc>
      </w:tr>
      <w:tr w:rsidR="00A420EC" w:rsidRPr="00A80EDE" w14:paraId="5C278BDF" w14:textId="77777777" w:rsidTr="00BA3B66">
        <w:tc>
          <w:tcPr>
            <w:tcW w:w="625" w:type="dxa"/>
          </w:tcPr>
          <w:p w14:paraId="32F676EA" w14:textId="77777777" w:rsidR="00A420EC" w:rsidRPr="00A80EDE" w:rsidRDefault="0091600E" w:rsidP="00A80EDE">
            <w:pPr>
              <w:suppressAutoHyphens/>
              <w:rPr>
                <w:rFonts w:ascii="Arial" w:hAnsi="Arial" w:cs="Arial"/>
                <w:szCs w:val="20"/>
              </w:rPr>
            </w:pPr>
            <w:r w:rsidRPr="00A80EDE">
              <w:rPr>
                <w:rFonts w:ascii="Arial" w:hAnsi="Arial" w:cs="Arial"/>
                <w:szCs w:val="20"/>
              </w:rPr>
              <w:t>4</w:t>
            </w:r>
          </w:p>
        </w:tc>
        <w:tc>
          <w:tcPr>
            <w:tcW w:w="9180" w:type="dxa"/>
          </w:tcPr>
          <w:p w14:paraId="645F8204" w14:textId="77777777" w:rsidR="004E2E18" w:rsidRPr="00A80EDE" w:rsidRDefault="0091600E" w:rsidP="00A80EDE">
            <w:pPr>
              <w:suppressAutoHyphens/>
              <w:rPr>
                <w:rFonts w:ascii="Arial" w:hAnsi="Arial" w:cs="Arial"/>
                <w:b/>
                <w:szCs w:val="20"/>
              </w:rPr>
            </w:pPr>
            <w:r w:rsidRPr="00A80EDE">
              <w:rPr>
                <w:rFonts w:ascii="Arial" w:hAnsi="Arial" w:cs="Arial"/>
                <w:b/>
                <w:szCs w:val="20"/>
              </w:rPr>
              <w:t xml:space="preserve">Reforming the partnership approach and increasing the quality of participation. </w:t>
            </w:r>
          </w:p>
          <w:p w14:paraId="7B8998AC" w14:textId="55C796DF" w:rsidR="00374085" w:rsidRPr="00A80EDE" w:rsidRDefault="000C73CE" w:rsidP="00A80EDE">
            <w:pPr>
              <w:suppressAutoHyphens/>
              <w:rPr>
                <w:rFonts w:ascii="Arial" w:hAnsi="Arial" w:cs="Arial"/>
                <w:szCs w:val="20"/>
              </w:rPr>
            </w:pPr>
            <w:r w:rsidRPr="00A80EDE">
              <w:rPr>
                <w:rFonts w:ascii="Arial" w:hAnsi="Arial" w:cs="Arial"/>
                <w:szCs w:val="20"/>
              </w:rPr>
              <w:t xml:space="preserve">Starting from the observation that </w:t>
            </w:r>
            <w:r w:rsidR="0064166B" w:rsidRPr="00A80EDE">
              <w:rPr>
                <w:rFonts w:ascii="Arial" w:hAnsi="Arial" w:cs="Arial"/>
                <w:szCs w:val="20"/>
              </w:rPr>
              <w:t>partnership</w:t>
            </w:r>
            <w:r w:rsidRPr="00A80EDE">
              <w:rPr>
                <w:rFonts w:ascii="Arial" w:hAnsi="Arial" w:cs="Arial"/>
                <w:szCs w:val="20"/>
              </w:rPr>
              <w:t xml:space="preserve"> works, but the participation remains unequal between categories of actors, we recommend orienting, in the future programming period, towards a partnership mechanism focused on co-creation. In order to harness the potential of the partnership and to stimulate original contributions, the </w:t>
            </w:r>
            <w:r w:rsidR="00F94785" w:rsidRPr="00A80EDE">
              <w:rPr>
                <w:rFonts w:ascii="Arial" w:hAnsi="Arial" w:cs="Arial"/>
                <w:szCs w:val="20"/>
              </w:rPr>
              <w:t xml:space="preserve">AM </w:t>
            </w:r>
            <w:r w:rsidRPr="00A80EDE">
              <w:rPr>
                <w:rFonts w:ascii="Arial" w:hAnsi="Arial" w:cs="Arial"/>
                <w:szCs w:val="20"/>
              </w:rPr>
              <w:t>and ADR Centre can strengthen participation by:</w:t>
            </w:r>
          </w:p>
          <w:p w14:paraId="68B30ABF" w14:textId="1D0E3B62" w:rsidR="00374085" w:rsidRPr="00A80EDE" w:rsidRDefault="007A702D" w:rsidP="00A80EDE">
            <w:pPr>
              <w:numPr>
                <w:ilvl w:val="0"/>
                <w:numId w:val="43"/>
              </w:numPr>
              <w:suppressAutoHyphens/>
              <w:spacing w:before="60" w:after="60"/>
              <w:rPr>
                <w:rFonts w:ascii="Arial" w:hAnsi="Arial" w:cs="Arial"/>
                <w:szCs w:val="20"/>
              </w:rPr>
            </w:pPr>
            <w:r w:rsidRPr="00A80EDE">
              <w:rPr>
                <w:rFonts w:ascii="Arial" w:hAnsi="Arial" w:cs="Arial"/>
                <w:szCs w:val="20"/>
              </w:rPr>
              <w:t>Continue to adapt the materials differentiated by categories of actors (municipalities, small towns, municipalities, SMEs, NGOs), presented in an accessible and utility-oriented way;</w:t>
            </w:r>
          </w:p>
          <w:p w14:paraId="37B042CA" w14:textId="416555F2" w:rsidR="00374085" w:rsidRPr="00A80EDE" w:rsidRDefault="00085DA2" w:rsidP="00A80EDE">
            <w:pPr>
              <w:numPr>
                <w:ilvl w:val="0"/>
                <w:numId w:val="43"/>
              </w:numPr>
              <w:suppressAutoHyphens/>
              <w:spacing w:before="60" w:after="60"/>
              <w:rPr>
                <w:rFonts w:ascii="Arial" w:hAnsi="Arial" w:cs="Arial"/>
                <w:szCs w:val="20"/>
              </w:rPr>
            </w:pPr>
            <w:r w:rsidRPr="00A80EDE">
              <w:rPr>
                <w:rFonts w:ascii="Arial" w:hAnsi="Arial" w:cs="Arial"/>
                <w:szCs w:val="20"/>
              </w:rPr>
              <w:t>Inclusion of short, visual and themed sessions, which reduce the time needed for participants with limited resources;</w:t>
            </w:r>
          </w:p>
          <w:p w14:paraId="7FFF0D74" w14:textId="37F0952C" w:rsidR="00374085" w:rsidRPr="00A80EDE" w:rsidRDefault="00921058" w:rsidP="00A80EDE">
            <w:pPr>
              <w:numPr>
                <w:ilvl w:val="0"/>
                <w:numId w:val="43"/>
              </w:numPr>
              <w:suppressAutoHyphens/>
              <w:spacing w:before="60" w:after="60"/>
              <w:rPr>
                <w:rFonts w:ascii="Arial" w:hAnsi="Arial" w:cs="Arial"/>
                <w:szCs w:val="20"/>
              </w:rPr>
            </w:pPr>
            <w:r w:rsidRPr="00A80EDE">
              <w:rPr>
                <w:rFonts w:ascii="Arial" w:hAnsi="Arial" w:cs="Arial"/>
                <w:szCs w:val="20"/>
              </w:rPr>
              <w:t>Facilitating participation on digital platforms that allow asynchronous contributions, or events of interest;</w:t>
            </w:r>
          </w:p>
          <w:p w14:paraId="76B425AE" w14:textId="56055A75" w:rsidR="00374085" w:rsidRPr="00A80EDE" w:rsidRDefault="0068798F" w:rsidP="00A80EDE">
            <w:pPr>
              <w:numPr>
                <w:ilvl w:val="0"/>
                <w:numId w:val="43"/>
              </w:numPr>
              <w:suppressAutoHyphens/>
              <w:spacing w:before="60" w:after="60"/>
              <w:rPr>
                <w:rFonts w:ascii="Arial" w:hAnsi="Arial" w:cs="Arial"/>
                <w:szCs w:val="20"/>
              </w:rPr>
            </w:pPr>
            <w:r w:rsidRPr="00A80EDE">
              <w:rPr>
                <w:rFonts w:ascii="Arial" w:hAnsi="Arial" w:cs="Arial"/>
                <w:szCs w:val="20"/>
              </w:rPr>
              <w:t>Review feedback mechanisms with traceability, strengthening the sense of influence and transparency of the process.</w:t>
            </w:r>
          </w:p>
          <w:p w14:paraId="78167EDE" w14:textId="1145D4A4" w:rsidR="00374085" w:rsidRPr="00A80EDE" w:rsidRDefault="00374085" w:rsidP="00A80EDE">
            <w:pPr>
              <w:suppressAutoHyphens/>
              <w:spacing w:before="60" w:afterLines="60" w:after="144"/>
              <w:rPr>
                <w:rFonts w:ascii="Arial" w:hAnsi="Arial" w:cs="Arial"/>
                <w:szCs w:val="20"/>
              </w:rPr>
            </w:pPr>
            <w:r w:rsidRPr="00A80EDE">
              <w:rPr>
                <w:rFonts w:ascii="Arial" w:hAnsi="Arial" w:cs="Arial"/>
                <w:szCs w:val="20"/>
              </w:rPr>
              <w:t xml:space="preserve">In this model, the </w:t>
            </w:r>
            <w:r w:rsidR="005A6DC5" w:rsidRPr="00A80EDE">
              <w:rPr>
                <w:rFonts w:eastAsia="Arial"/>
                <w:szCs w:val="22"/>
              </w:rPr>
              <w:t>AM</w:t>
            </w:r>
            <w:r w:rsidRPr="00A80EDE">
              <w:rPr>
                <w:rFonts w:ascii="Arial" w:hAnsi="Arial" w:cs="Arial"/>
                <w:szCs w:val="20"/>
              </w:rPr>
              <w:t xml:space="preserve"> has the role of facilitator of dialogue and structuring of discussions, while strengthening the capacity for participation remains the responsibility of each partner, supported, where appropriate, by external mechanisms – development associations, professional networks or specialized training providers.</w:t>
            </w:r>
          </w:p>
          <w:p w14:paraId="1540FC3C" w14:textId="656B51EA" w:rsidR="00A420EC" w:rsidRPr="00A80EDE" w:rsidRDefault="00374085" w:rsidP="00A80EDE">
            <w:pPr>
              <w:suppressAutoHyphens/>
              <w:rPr>
                <w:rFonts w:ascii="Arial" w:hAnsi="Arial" w:cs="Arial"/>
                <w:b/>
                <w:szCs w:val="20"/>
              </w:rPr>
            </w:pPr>
            <w:r w:rsidRPr="00A80EDE">
              <w:rPr>
                <w:rFonts w:ascii="Arial" w:hAnsi="Arial" w:cs="Arial"/>
                <w:b/>
                <w:szCs w:val="20"/>
              </w:rPr>
              <w:t xml:space="preserve">Responsibility: </w:t>
            </w:r>
            <w:r w:rsidR="005A6DC5" w:rsidRPr="00A80EDE">
              <w:rPr>
                <w:rFonts w:ascii="Arial" w:hAnsi="Arial" w:cs="Arial"/>
                <w:b/>
                <w:szCs w:val="20"/>
              </w:rPr>
              <w:t>ADR</w:t>
            </w:r>
            <w:r w:rsidRPr="00A80EDE">
              <w:rPr>
                <w:rFonts w:ascii="Arial" w:hAnsi="Arial" w:cs="Arial"/>
                <w:b/>
                <w:szCs w:val="20"/>
              </w:rPr>
              <w:t xml:space="preserve">, </w:t>
            </w:r>
            <w:r w:rsidR="005A6DC5" w:rsidRPr="00A80EDE">
              <w:rPr>
                <w:rFonts w:eastAsia="Arial"/>
                <w:b/>
                <w:sz w:val="24"/>
                <w:szCs w:val="22"/>
              </w:rPr>
              <w:t>AM</w:t>
            </w:r>
            <w:r w:rsidR="0064166B" w:rsidRPr="00A80EDE">
              <w:rPr>
                <w:rFonts w:ascii="Arial" w:hAnsi="Arial" w:cs="Arial"/>
                <w:b/>
                <w:szCs w:val="20"/>
              </w:rPr>
              <w:t xml:space="preserve"> </w:t>
            </w:r>
            <w:r w:rsidR="005A6DC5" w:rsidRPr="00A80EDE">
              <w:rPr>
                <w:rFonts w:ascii="Arial" w:hAnsi="Arial" w:cs="Arial"/>
                <w:b/>
                <w:szCs w:val="20"/>
              </w:rPr>
              <w:t xml:space="preserve">PR </w:t>
            </w:r>
            <w:r w:rsidR="0064166B" w:rsidRPr="00A80EDE">
              <w:rPr>
                <w:rFonts w:ascii="Arial" w:hAnsi="Arial" w:cs="Arial"/>
                <w:b/>
                <w:szCs w:val="20"/>
              </w:rPr>
              <w:t>for the Central Region</w:t>
            </w:r>
          </w:p>
        </w:tc>
      </w:tr>
      <w:tr w:rsidR="00A420EC" w:rsidRPr="00A80EDE" w14:paraId="01BE5B51" w14:textId="77777777" w:rsidTr="00BA3B66">
        <w:tc>
          <w:tcPr>
            <w:tcW w:w="625" w:type="dxa"/>
          </w:tcPr>
          <w:p w14:paraId="742DCD70" w14:textId="77777777" w:rsidR="00A420EC" w:rsidRPr="00A80EDE" w:rsidRDefault="0091600E" w:rsidP="00A80EDE">
            <w:pPr>
              <w:suppressAutoHyphens/>
              <w:rPr>
                <w:rFonts w:ascii="Arial" w:hAnsi="Arial" w:cs="Arial"/>
                <w:szCs w:val="20"/>
              </w:rPr>
            </w:pPr>
            <w:r w:rsidRPr="00A80EDE">
              <w:rPr>
                <w:rFonts w:ascii="Arial" w:hAnsi="Arial" w:cs="Arial"/>
                <w:szCs w:val="20"/>
              </w:rPr>
              <w:t>5</w:t>
            </w:r>
          </w:p>
        </w:tc>
        <w:tc>
          <w:tcPr>
            <w:tcW w:w="9180" w:type="dxa"/>
          </w:tcPr>
          <w:p w14:paraId="6B2A5ADA" w14:textId="3C7DA0D0" w:rsidR="0082018D" w:rsidRPr="00A80EDE" w:rsidRDefault="001F27AC" w:rsidP="00A80EDE">
            <w:pPr>
              <w:suppressAutoHyphens/>
              <w:spacing w:before="0" w:after="0"/>
              <w:rPr>
                <w:rFonts w:ascii="Arial" w:hAnsi="Arial" w:cs="Arial"/>
                <w:b/>
                <w:szCs w:val="20"/>
              </w:rPr>
            </w:pPr>
            <w:r w:rsidRPr="00A80EDE">
              <w:rPr>
                <w:rFonts w:ascii="Arial" w:hAnsi="Arial" w:cs="Arial"/>
                <w:b/>
                <w:szCs w:val="20"/>
              </w:rPr>
              <w:t xml:space="preserve">Strengthened support and dialogue with central institutions for a coherent, flexible and results-oriented regulatory framework </w:t>
            </w:r>
          </w:p>
          <w:p w14:paraId="1C308C6D" w14:textId="52B4E55A" w:rsidR="1BF6DABD" w:rsidRPr="00A80EDE" w:rsidRDefault="1BF6DABD" w:rsidP="00A80EDE">
            <w:pPr>
              <w:suppressAutoHyphens/>
              <w:spacing w:before="0" w:after="0"/>
              <w:rPr>
                <w:rFonts w:ascii="Arial" w:hAnsi="Arial" w:cs="Arial"/>
                <w:b/>
                <w:bCs/>
                <w:szCs w:val="20"/>
              </w:rPr>
            </w:pPr>
          </w:p>
          <w:p w14:paraId="3A8FEE20" w14:textId="22329135" w:rsidR="0082018D" w:rsidRPr="00A80EDE" w:rsidRDefault="0082018D" w:rsidP="00A80EDE">
            <w:pPr>
              <w:suppressAutoHyphens/>
              <w:spacing w:before="0" w:after="0"/>
              <w:rPr>
                <w:rFonts w:ascii="Arial" w:hAnsi="Arial" w:cs="Arial"/>
                <w:i/>
                <w:szCs w:val="20"/>
              </w:rPr>
            </w:pPr>
            <w:r w:rsidRPr="00A80EDE">
              <w:rPr>
                <w:rFonts w:ascii="Arial" w:eastAsia="MS Gothic" w:hAnsi="Arial" w:cs="Arial"/>
                <w:i/>
                <w:szCs w:val="20"/>
              </w:rPr>
              <w:t>Policy recommendation – exceeds the direct area of competence of the</w:t>
            </w:r>
            <w:r w:rsidR="00265A17" w:rsidRPr="00A80EDE">
              <w:rPr>
                <w:rFonts w:ascii="Arial" w:eastAsia="MS Gothic" w:hAnsi="Arial" w:cs="Arial"/>
                <w:i/>
                <w:szCs w:val="20"/>
              </w:rPr>
              <w:t xml:space="preserve"> ADR</w:t>
            </w:r>
            <w:r w:rsidRPr="00A80EDE">
              <w:rPr>
                <w:rFonts w:ascii="Arial" w:eastAsia="MS Gothic" w:hAnsi="Arial" w:cs="Arial"/>
                <w:i/>
                <w:szCs w:val="20"/>
              </w:rPr>
              <w:t xml:space="preserve"> Centre </w:t>
            </w:r>
          </w:p>
          <w:p w14:paraId="4A0FB039" w14:textId="224904F5" w:rsidR="0145C6F7" w:rsidRPr="00A80EDE" w:rsidRDefault="0145C6F7" w:rsidP="00A80EDE">
            <w:pPr>
              <w:suppressAutoHyphens/>
              <w:spacing w:before="0" w:after="0"/>
              <w:rPr>
                <w:rFonts w:ascii="Arial" w:hAnsi="Arial" w:cs="Arial"/>
                <w:i/>
                <w:iCs/>
                <w:szCs w:val="20"/>
              </w:rPr>
            </w:pPr>
          </w:p>
          <w:p w14:paraId="3EAF170B" w14:textId="77777777" w:rsidR="0082018D" w:rsidRPr="00A80EDE" w:rsidRDefault="0082018D" w:rsidP="00A80EDE">
            <w:pPr>
              <w:suppressAutoHyphens/>
              <w:spacing w:before="0" w:after="0"/>
              <w:rPr>
                <w:rFonts w:ascii="Arial" w:hAnsi="Arial" w:cs="Arial"/>
                <w:szCs w:val="20"/>
              </w:rPr>
            </w:pPr>
            <w:r w:rsidRPr="00A80EDE">
              <w:rPr>
                <w:rFonts w:ascii="Arial" w:hAnsi="Arial" w:cs="Arial"/>
                <w:szCs w:val="20"/>
              </w:rPr>
              <w:t>ADR and AM PR Centre cannot on their own remove the constraints generated by the external regulatory framework of the programme, which affect essential aspects such as: public procurement, non-unitary interpretations of central institutions, the detailed and rigid funding framework (from the Cohesion Policy Regulations to the national implementing legislation) and a control system predominantly oriented towards processes and expenditures.</w:t>
            </w:r>
          </w:p>
          <w:p w14:paraId="6E5A88BA" w14:textId="43D30486" w:rsidR="0145C6F7" w:rsidRPr="00A80EDE" w:rsidRDefault="0145C6F7" w:rsidP="00A80EDE">
            <w:pPr>
              <w:suppressAutoHyphens/>
              <w:spacing w:before="0" w:after="0"/>
              <w:rPr>
                <w:rFonts w:ascii="Arial" w:hAnsi="Arial" w:cs="Arial"/>
                <w:szCs w:val="20"/>
              </w:rPr>
            </w:pPr>
          </w:p>
          <w:p w14:paraId="0F4FA203" w14:textId="60800698" w:rsidR="0082018D" w:rsidRPr="00A80EDE" w:rsidRDefault="0082018D" w:rsidP="00A80EDE">
            <w:pPr>
              <w:suppressAutoHyphens/>
              <w:spacing w:before="0" w:after="0"/>
              <w:jc w:val="left"/>
              <w:rPr>
                <w:rFonts w:ascii="Arial" w:hAnsi="Arial" w:cs="Arial"/>
                <w:b/>
                <w:bCs/>
                <w:szCs w:val="20"/>
              </w:rPr>
            </w:pPr>
            <w:r w:rsidRPr="00A80EDE">
              <w:rPr>
                <w:rFonts w:ascii="Arial" w:hAnsi="Arial" w:cs="Arial"/>
                <w:szCs w:val="20"/>
              </w:rPr>
              <w:t>In this context, for the 2026–2029 stage it is recommended:</w:t>
            </w:r>
          </w:p>
          <w:p w14:paraId="338A813C" w14:textId="08F96A9C" w:rsidR="0082018D" w:rsidRPr="00A80EDE" w:rsidRDefault="0082018D" w:rsidP="00A80EDE">
            <w:pPr>
              <w:numPr>
                <w:ilvl w:val="0"/>
                <w:numId w:val="44"/>
              </w:numPr>
              <w:suppressAutoHyphens/>
              <w:spacing w:before="60" w:after="60"/>
              <w:rPr>
                <w:rFonts w:ascii="Arial" w:hAnsi="Arial" w:cs="Arial"/>
                <w:szCs w:val="20"/>
              </w:rPr>
            </w:pPr>
            <w:r w:rsidRPr="00A80EDE">
              <w:rPr>
                <w:rFonts w:ascii="Arial" w:hAnsi="Arial" w:cs="Arial"/>
                <w:szCs w:val="20"/>
              </w:rPr>
              <w:t xml:space="preserve">formulating common positions of regional </w:t>
            </w:r>
            <w:r w:rsidR="00265A17" w:rsidRPr="00A80EDE">
              <w:rPr>
                <w:rFonts w:ascii="Arial" w:hAnsi="Arial" w:cs="Arial"/>
                <w:szCs w:val="20"/>
              </w:rPr>
              <w:t>AMs</w:t>
            </w:r>
            <w:r w:rsidRPr="00A80EDE">
              <w:rPr>
                <w:rFonts w:ascii="Arial" w:hAnsi="Arial" w:cs="Arial"/>
                <w:szCs w:val="20"/>
              </w:rPr>
              <w:t>;</w:t>
            </w:r>
          </w:p>
          <w:p w14:paraId="2B334D05" w14:textId="11B30DB8" w:rsidR="0082018D" w:rsidRPr="00A80EDE" w:rsidRDefault="0082018D" w:rsidP="00A80EDE">
            <w:pPr>
              <w:numPr>
                <w:ilvl w:val="0"/>
                <w:numId w:val="44"/>
              </w:numPr>
              <w:suppressAutoHyphens/>
              <w:spacing w:before="60" w:after="60"/>
              <w:rPr>
                <w:rFonts w:ascii="Arial" w:hAnsi="Arial" w:cs="Arial"/>
                <w:szCs w:val="20"/>
              </w:rPr>
            </w:pPr>
            <w:r w:rsidRPr="00A80EDE">
              <w:rPr>
                <w:rFonts w:ascii="Arial" w:hAnsi="Arial" w:cs="Arial"/>
                <w:szCs w:val="20"/>
              </w:rPr>
              <w:t>structured and continuous dialogue with MIPE, ANAP, AA and ACP;</w:t>
            </w:r>
          </w:p>
          <w:p w14:paraId="04FA7781" w14:textId="4E10B5C6" w:rsidR="0082018D" w:rsidRPr="00A80EDE" w:rsidRDefault="0082018D" w:rsidP="00A80EDE">
            <w:pPr>
              <w:pStyle w:val="Listparagraf"/>
              <w:numPr>
                <w:ilvl w:val="0"/>
                <w:numId w:val="44"/>
              </w:numPr>
              <w:suppressAutoHyphens/>
              <w:spacing w:before="60" w:after="60"/>
              <w:rPr>
                <w:rFonts w:ascii="Arial" w:hAnsi="Arial" w:cs="Arial"/>
                <w:szCs w:val="20"/>
              </w:rPr>
            </w:pPr>
            <w:r w:rsidRPr="00A80EDE">
              <w:rPr>
                <w:rFonts w:ascii="Arial" w:hAnsi="Arial" w:cs="Arial"/>
                <w:szCs w:val="20"/>
              </w:rPr>
              <w:t>advocacy for regional flexibility and performance-based tools;</w:t>
            </w:r>
          </w:p>
          <w:p w14:paraId="6AFFCF83" w14:textId="77777777" w:rsidR="00470437" w:rsidRPr="00A80EDE" w:rsidRDefault="0082018D" w:rsidP="00A80EDE">
            <w:pPr>
              <w:numPr>
                <w:ilvl w:val="0"/>
                <w:numId w:val="44"/>
              </w:numPr>
              <w:suppressAutoHyphens/>
              <w:spacing w:before="60" w:after="60"/>
              <w:rPr>
                <w:rFonts w:ascii="Arial" w:hAnsi="Arial" w:cs="Arial"/>
                <w:szCs w:val="20"/>
              </w:rPr>
            </w:pPr>
            <w:r w:rsidRPr="00A80EDE">
              <w:rPr>
                <w:rFonts w:ascii="Arial" w:hAnsi="Arial" w:cs="Arial"/>
                <w:szCs w:val="20"/>
              </w:rPr>
              <w:t>reducing micro-management in the guides, by orienting them towards general objectives, without excessive rules;</w:t>
            </w:r>
          </w:p>
          <w:p w14:paraId="5E13DD88" w14:textId="5ACFA528" w:rsidR="0082018D" w:rsidRPr="00A80EDE" w:rsidRDefault="0082018D" w:rsidP="00A80EDE">
            <w:pPr>
              <w:numPr>
                <w:ilvl w:val="0"/>
                <w:numId w:val="44"/>
              </w:numPr>
              <w:suppressAutoHyphens/>
              <w:spacing w:before="60" w:after="60"/>
              <w:rPr>
                <w:rFonts w:ascii="Arial" w:hAnsi="Arial" w:cs="Arial"/>
                <w:szCs w:val="20"/>
              </w:rPr>
            </w:pPr>
            <w:r w:rsidRPr="00A80EDE">
              <w:rPr>
                <w:rFonts w:ascii="Arial" w:hAnsi="Arial" w:cs="Arial"/>
                <w:szCs w:val="20"/>
              </w:rPr>
              <w:t>creating a critical mass of institutional support for the post-2027 system architecture.</w:t>
            </w:r>
          </w:p>
          <w:p w14:paraId="70A3FCE4" w14:textId="7A49D12C" w:rsidR="00A420EC" w:rsidRPr="00A80EDE" w:rsidRDefault="0053369D" w:rsidP="00A80EDE">
            <w:pPr>
              <w:suppressAutoHyphens/>
              <w:spacing w:before="0" w:after="0"/>
              <w:rPr>
                <w:rFonts w:ascii="Arial" w:hAnsi="Arial" w:cs="Arial"/>
                <w:b/>
                <w:szCs w:val="20"/>
              </w:rPr>
            </w:pPr>
            <w:r w:rsidRPr="00A80EDE">
              <w:rPr>
                <w:rFonts w:ascii="Arial" w:eastAsia="MS Gothic" w:hAnsi="Arial" w:cs="Arial"/>
                <w:b/>
                <w:szCs w:val="20"/>
              </w:rPr>
              <w:lastRenderedPageBreak/>
              <w:t xml:space="preserve">Responsibility: </w:t>
            </w:r>
            <w:r w:rsidR="0082018D" w:rsidRPr="00A80EDE">
              <w:rPr>
                <w:rFonts w:ascii="Arial" w:hAnsi="Arial" w:cs="Arial"/>
                <w:b/>
                <w:szCs w:val="20"/>
              </w:rPr>
              <w:t>ADR management, AM PR Center management, ROREG.</w:t>
            </w:r>
          </w:p>
        </w:tc>
      </w:tr>
      <w:tr w:rsidR="00C6367F" w:rsidRPr="00A80EDE" w14:paraId="4E855B66" w14:textId="77777777" w:rsidTr="00BA3B66">
        <w:tc>
          <w:tcPr>
            <w:tcW w:w="625" w:type="dxa"/>
          </w:tcPr>
          <w:p w14:paraId="1BBBA4AA" w14:textId="6D102A8C" w:rsidR="00C6367F" w:rsidRPr="00A80EDE" w:rsidRDefault="00C6367F" w:rsidP="00A80EDE">
            <w:pPr>
              <w:suppressAutoHyphens/>
              <w:rPr>
                <w:rFonts w:ascii="Arial" w:hAnsi="Arial" w:cs="Arial"/>
                <w:szCs w:val="20"/>
              </w:rPr>
            </w:pPr>
            <w:r w:rsidRPr="00A80EDE">
              <w:rPr>
                <w:rFonts w:ascii="Arial" w:hAnsi="Arial" w:cs="Arial"/>
                <w:szCs w:val="20"/>
              </w:rPr>
              <w:t>6</w:t>
            </w:r>
          </w:p>
        </w:tc>
        <w:tc>
          <w:tcPr>
            <w:tcW w:w="9180" w:type="dxa"/>
          </w:tcPr>
          <w:p w14:paraId="4ED853E3" w14:textId="77777777" w:rsidR="009E2AE7" w:rsidRPr="00A80EDE" w:rsidRDefault="009E2AE7" w:rsidP="00A80EDE">
            <w:pPr>
              <w:suppressAutoHyphens/>
              <w:spacing w:before="0" w:after="0"/>
              <w:rPr>
                <w:rFonts w:ascii="Arial" w:hAnsi="Arial" w:cs="Arial"/>
                <w:b/>
                <w:szCs w:val="20"/>
              </w:rPr>
            </w:pPr>
            <w:r w:rsidRPr="00A80EDE">
              <w:rPr>
                <w:rFonts w:ascii="Arial" w:eastAsia="MS Gothic" w:hAnsi="Arial" w:cs="Arial"/>
                <w:b/>
                <w:bCs/>
                <w:szCs w:val="20"/>
              </w:rPr>
              <w:t>Strengthening the role of partners in the co-creation of regional development and the post-2027 agenda</w:t>
            </w:r>
          </w:p>
          <w:p w14:paraId="5C4C10E5" w14:textId="77777777" w:rsidR="00067746" w:rsidRPr="00A80EDE" w:rsidRDefault="009E2AE7" w:rsidP="00A80EDE">
            <w:pPr>
              <w:suppressAutoHyphens/>
              <w:spacing w:before="0" w:after="0"/>
              <w:rPr>
                <w:rFonts w:ascii="Arial" w:hAnsi="Arial" w:cs="Arial"/>
                <w:bCs/>
                <w:szCs w:val="20"/>
              </w:rPr>
            </w:pPr>
            <w:r w:rsidRPr="00A80EDE">
              <w:rPr>
                <w:rFonts w:ascii="Arial" w:hAnsi="Arial" w:cs="Arial"/>
                <w:bCs/>
                <w:szCs w:val="20"/>
              </w:rPr>
              <w:t xml:space="preserve">In addition to the proposed measures to reform the partnership approach at AM/ADR level, there is also a need for a more committed and creative involvement of the partners – members of the CM, CRP, CRI and other consultative structures – in the planning of the development of the region and the future programme. </w:t>
            </w:r>
          </w:p>
          <w:p w14:paraId="0F768167" w14:textId="77777777" w:rsidR="00067746" w:rsidRPr="00A80EDE" w:rsidRDefault="00067746" w:rsidP="00A80EDE">
            <w:pPr>
              <w:suppressAutoHyphens/>
              <w:spacing w:before="0" w:after="0"/>
              <w:rPr>
                <w:rFonts w:ascii="Arial" w:hAnsi="Arial" w:cs="Arial"/>
                <w:szCs w:val="20"/>
                <w:lang w:eastAsia="ro-RO"/>
              </w:rPr>
            </w:pPr>
          </w:p>
          <w:p w14:paraId="36735086" w14:textId="6D31181A" w:rsidR="004C4AA5" w:rsidRPr="00A80EDE" w:rsidRDefault="004C4AA5" w:rsidP="00A80EDE">
            <w:pPr>
              <w:suppressAutoHyphens/>
              <w:spacing w:before="0" w:after="0"/>
              <w:rPr>
                <w:rFonts w:ascii="Arial" w:hAnsi="Arial" w:cs="Arial"/>
                <w:bCs/>
                <w:szCs w:val="20"/>
              </w:rPr>
            </w:pPr>
            <w:r w:rsidRPr="00A80EDE">
              <w:rPr>
                <w:rFonts w:ascii="Arial" w:hAnsi="Arial" w:cs="Arial"/>
                <w:szCs w:val="20"/>
                <w:lang w:eastAsia="ro-RO"/>
              </w:rPr>
              <w:t>Partners are encouraged to develop internal consultation and analysis mechanisms by:</w:t>
            </w:r>
          </w:p>
          <w:p w14:paraId="00E4F754" w14:textId="3A77885D" w:rsidR="004C4AA5" w:rsidRPr="00A80EDE" w:rsidRDefault="004C4AA5" w:rsidP="00A80EDE">
            <w:pPr>
              <w:numPr>
                <w:ilvl w:val="0"/>
                <w:numId w:val="41"/>
              </w:numPr>
              <w:suppressAutoHyphens/>
              <w:spacing w:before="60" w:after="60" w:line="240" w:lineRule="auto"/>
              <w:jc w:val="left"/>
              <w:rPr>
                <w:rFonts w:ascii="Arial" w:hAnsi="Arial" w:cs="Arial"/>
                <w:szCs w:val="20"/>
                <w:lang w:eastAsia="ro-RO"/>
              </w:rPr>
            </w:pPr>
            <w:r w:rsidRPr="00A80EDE">
              <w:rPr>
                <w:rFonts w:ascii="Arial" w:hAnsi="Arial" w:cs="Arial"/>
                <w:szCs w:val="20"/>
                <w:lang w:eastAsia="ro-RO"/>
              </w:rPr>
              <w:t xml:space="preserve">organising regular discussions within the organisations and networks they represent (municipalities, small and medium-sized </w:t>
            </w:r>
            <w:r w:rsidR="00F94785" w:rsidRPr="00A80EDE">
              <w:rPr>
                <w:rFonts w:ascii="Arial" w:hAnsi="Arial" w:cs="Arial"/>
                <w:szCs w:val="20"/>
                <w:lang w:eastAsia="ro-RO"/>
              </w:rPr>
              <w:t>UAT</w:t>
            </w:r>
            <w:r w:rsidRPr="00A80EDE">
              <w:rPr>
                <w:rFonts w:ascii="Arial" w:hAnsi="Arial" w:cs="Arial"/>
                <w:szCs w:val="20"/>
                <w:lang w:eastAsia="ro-RO"/>
              </w:rPr>
              <w:t>s, SMEs, NGOs, universities, professional associations) in order to aggregate needs, ideas and priorities ahead of the CM/CRP/CRI meetings;</w:t>
            </w:r>
          </w:p>
          <w:p w14:paraId="6AF11267" w14:textId="77777777" w:rsidR="004C4AA5" w:rsidRPr="00A80EDE" w:rsidRDefault="004C4AA5" w:rsidP="00A80EDE">
            <w:pPr>
              <w:numPr>
                <w:ilvl w:val="0"/>
                <w:numId w:val="41"/>
              </w:numPr>
              <w:suppressAutoHyphens/>
              <w:spacing w:before="60" w:after="60" w:line="240" w:lineRule="auto"/>
              <w:jc w:val="left"/>
              <w:rPr>
                <w:rFonts w:ascii="Arial" w:hAnsi="Arial" w:cs="Arial"/>
                <w:szCs w:val="20"/>
                <w:lang w:eastAsia="ro-RO"/>
              </w:rPr>
            </w:pPr>
            <w:r w:rsidRPr="00A80EDE">
              <w:rPr>
                <w:rFonts w:ascii="Arial" w:hAnsi="Arial" w:cs="Arial"/>
                <w:szCs w:val="20"/>
                <w:lang w:eastAsia="ro-RO"/>
              </w:rPr>
              <w:t>the use of local data – surveys, statistics, sector studies, internal analyses – to substantiate proposals and move from opinions to evidence-based contributions;</w:t>
            </w:r>
          </w:p>
          <w:p w14:paraId="3D5BDECC" w14:textId="77777777" w:rsidR="004C4AA5" w:rsidRPr="00A80EDE" w:rsidRDefault="004C4AA5" w:rsidP="00A80EDE">
            <w:pPr>
              <w:numPr>
                <w:ilvl w:val="0"/>
                <w:numId w:val="41"/>
              </w:numPr>
              <w:suppressAutoHyphens/>
              <w:spacing w:before="60" w:after="60" w:line="240" w:lineRule="auto"/>
              <w:jc w:val="left"/>
              <w:rPr>
                <w:rFonts w:ascii="Arial" w:hAnsi="Arial" w:cs="Arial"/>
                <w:szCs w:val="20"/>
                <w:lang w:eastAsia="ro-RO"/>
              </w:rPr>
            </w:pPr>
            <w:r w:rsidRPr="00A80EDE">
              <w:rPr>
                <w:rFonts w:ascii="Arial" w:hAnsi="Arial" w:cs="Arial"/>
                <w:szCs w:val="20"/>
                <w:lang w:eastAsia="ro-RO"/>
              </w:rPr>
              <w:t>the gradual development of small "knowledge hubs" within the partnership structures, which would provide constant and qualified input for the programming process;</w:t>
            </w:r>
          </w:p>
          <w:p w14:paraId="087F145A" w14:textId="77777777" w:rsidR="004C4AA5" w:rsidRPr="00A80EDE" w:rsidRDefault="004C4AA5" w:rsidP="00A80EDE">
            <w:pPr>
              <w:numPr>
                <w:ilvl w:val="0"/>
                <w:numId w:val="41"/>
              </w:numPr>
              <w:suppressAutoHyphens/>
              <w:spacing w:before="60" w:after="60" w:line="240" w:lineRule="auto"/>
              <w:jc w:val="left"/>
              <w:rPr>
                <w:rFonts w:ascii="Arial" w:hAnsi="Arial" w:cs="Arial"/>
                <w:szCs w:val="20"/>
                <w:lang w:eastAsia="ro-RO"/>
              </w:rPr>
            </w:pPr>
            <w:r w:rsidRPr="00A80EDE">
              <w:rPr>
                <w:rFonts w:ascii="Arial" w:hAnsi="Arial" w:cs="Arial"/>
                <w:szCs w:val="20"/>
                <w:lang w:eastAsia="ro-RO"/>
              </w:rPr>
              <w:t>documenting and sharing lessons learned from projects and practical experiences, so that co-creation processes are fed with real evidence and examples, not just intentions.</w:t>
            </w:r>
          </w:p>
          <w:p w14:paraId="08A8CB21" w14:textId="64EB571A" w:rsidR="00C6367F" w:rsidRPr="00A80EDE" w:rsidRDefault="00470437" w:rsidP="00A80EDE">
            <w:pPr>
              <w:suppressAutoHyphens/>
              <w:spacing w:before="0" w:after="0"/>
              <w:rPr>
                <w:rFonts w:ascii="Arial" w:hAnsi="Arial" w:cs="Arial"/>
                <w:b/>
                <w:szCs w:val="20"/>
              </w:rPr>
            </w:pPr>
            <w:r w:rsidRPr="00A80EDE">
              <w:rPr>
                <w:rFonts w:ascii="Arial" w:hAnsi="Arial" w:cs="Arial"/>
                <w:b/>
                <w:szCs w:val="20"/>
              </w:rPr>
              <w:t>Responsibility: CM, CRI, CRP</w:t>
            </w:r>
          </w:p>
        </w:tc>
      </w:tr>
    </w:tbl>
    <w:p w14:paraId="7EC1D08B" w14:textId="03BE6D9F" w:rsidR="00A420EC" w:rsidRPr="007302BA" w:rsidRDefault="00A420EC" w:rsidP="00A80EDE">
      <w:pPr>
        <w:suppressAutoHyphens/>
      </w:pPr>
    </w:p>
    <w:sectPr w:rsidR="00A420EC" w:rsidRPr="007302BA" w:rsidSect="002D0684">
      <w:pgSz w:w="11910" w:h="16850"/>
      <w:pgMar w:top="1440" w:right="930" w:bottom="1440" w:left="1260" w:header="144" w:footer="4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0E473" w14:textId="77777777" w:rsidR="00537A89" w:rsidRPr="00A80EDE" w:rsidRDefault="00537A89" w:rsidP="00E5361D">
      <w:r w:rsidRPr="00A80EDE">
        <w:separator/>
      </w:r>
    </w:p>
  </w:endnote>
  <w:endnote w:type="continuationSeparator" w:id="0">
    <w:p w14:paraId="61097D28" w14:textId="77777777" w:rsidR="00537A89" w:rsidRPr="00A80EDE" w:rsidRDefault="00537A89" w:rsidP="00E5361D">
      <w:r w:rsidRPr="00A80EDE">
        <w:continuationSeparator/>
      </w:r>
    </w:p>
  </w:endnote>
  <w:endnote w:type="continuationNotice" w:id="1">
    <w:p w14:paraId="3682745A" w14:textId="77777777" w:rsidR="00537A89" w:rsidRPr="00A80EDE" w:rsidRDefault="00537A89" w:rsidP="00E53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Optima">
    <w:altName w:val="Lucida Sans Unicode"/>
    <w:charset w:val="00"/>
    <w:family w:val="auto"/>
    <w:pitch w:val="variable"/>
    <w:sig w:usb0="80000067" w:usb1="00000000" w:usb2="00000000" w:usb3="00000000" w:csb0="00000001" w:csb1="00000000"/>
  </w:font>
  <w:font w:name="Helvetica Neue Light">
    <w:altName w:val="Calibri"/>
    <w:charset w:val="00"/>
    <w:family w:val="auto"/>
    <w:pitch w:val="variable"/>
    <w:sig w:usb0="A00002FF" w:usb1="5000205B" w:usb2="00000002" w:usb3="00000000" w:csb0="00000007" w:csb1="00000000"/>
  </w:font>
  <w:font w:name="ヒラギノ角ゴ Pro W3">
    <w:altName w:val="Yu Mincho"/>
    <w:charset w:val="80"/>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78F1F" w14:textId="77777777" w:rsidR="00E704B9" w:rsidRPr="00A80EDE" w:rsidRDefault="00E704B9" w:rsidP="002D52FD">
    <w:pPr>
      <w:pStyle w:val="Subsol"/>
      <w:rPr>
        <w:rStyle w:val="Numrdepagin"/>
      </w:rPr>
    </w:pPr>
    <w:r w:rsidRPr="00A80EDE">
      <w:rPr>
        <w:rStyle w:val="Numrdepagin"/>
      </w:rPr>
      <w:fldChar w:fldCharType="begin"/>
    </w:r>
    <w:r w:rsidRPr="00A80EDE">
      <w:rPr>
        <w:rStyle w:val="Numrdepagin"/>
      </w:rPr>
      <w:instrText xml:space="preserve">PAGE  </w:instrText>
    </w:r>
    <w:r w:rsidRPr="00A80EDE">
      <w:rPr>
        <w:rStyle w:val="Numrdepagin"/>
      </w:rPr>
      <w:fldChar w:fldCharType="separate"/>
    </w:r>
    <w:r w:rsidRPr="00A80EDE">
      <w:rPr>
        <w:rStyle w:val="Numrdepagin"/>
      </w:rPr>
      <w:t>24</w:t>
    </w:r>
    <w:r w:rsidRPr="00A80EDE">
      <w:rPr>
        <w:rStyle w:val="Numrdepagin"/>
      </w:rPr>
      <w:fldChar w:fldCharType="end"/>
    </w:r>
  </w:p>
  <w:p w14:paraId="24BA53FB" w14:textId="77777777" w:rsidR="00E704B9" w:rsidRPr="00A80EDE" w:rsidRDefault="00E704B9" w:rsidP="002D52FD">
    <w:pPr>
      <w:pStyle w:val="Subsol"/>
    </w:pPr>
  </w:p>
  <w:p w14:paraId="1B34951C" w14:textId="77777777" w:rsidR="00E704B9" w:rsidRPr="00A80EDE" w:rsidRDefault="00E704B9" w:rsidP="002D52FD"/>
  <w:p w14:paraId="4B490D3E" w14:textId="77777777" w:rsidR="00E704B9" w:rsidRPr="00A80EDE" w:rsidRDefault="00E704B9" w:rsidP="002D52FD"/>
  <w:p w14:paraId="4C8DD498" w14:textId="77777777" w:rsidR="00E704B9" w:rsidRPr="00A80EDE" w:rsidRDefault="00E704B9" w:rsidP="002D52FD"/>
  <w:p w14:paraId="7821B996" w14:textId="77777777" w:rsidR="00E704B9" w:rsidRPr="00A80EDE" w:rsidRDefault="00E704B9" w:rsidP="002D52FD"/>
  <w:p w14:paraId="40D99EB0" w14:textId="77777777" w:rsidR="00E704B9" w:rsidRPr="00A80EDE" w:rsidRDefault="00E704B9" w:rsidP="002D52FD"/>
  <w:p w14:paraId="77A98EB1" w14:textId="77777777" w:rsidR="00E704B9" w:rsidRPr="00A80EDE" w:rsidRDefault="00E704B9" w:rsidP="002D52FD"/>
  <w:p w14:paraId="3ED40474" w14:textId="77777777" w:rsidR="00E704B9" w:rsidRPr="00A80EDE" w:rsidRDefault="00E704B9" w:rsidP="002D52FD"/>
  <w:p w14:paraId="66BB9C32" w14:textId="77777777" w:rsidR="00E704B9" w:rsidRPr="00A80EDE" w:rsidRDefault="00E704B9" w:rsidP="002D52FD"/>
  <w:p w14:paraId="466423FF" w14:textId="77777777" w:rsidR="00E704B9" w:rsidRPr="00A80EDE" w:rsidRDefault="00E704B9" w:rsidP="002D52FD"/>
  <w:p w14:paraId="0AC5D4D1" w14:textId="77777777" w:rsidR="00E704B9" w:rsidRPr="00A80EDE" w:rsidRDefault="00E704B9" w:rsidP="002D52FD"/>
  <w:p w14:paraId="62820DF8" w14:textId="77777777" w:rsidR="00E704B9" w:rsidRPr="00A80EDE" w:rsidRDefault="00E704B9" w:rsidP="002D52FD"/>
  <w:p w14:paraId="325EDE34" w14:textId="77777777" w:rsidR="00E704B9" w:rsidRPr="00A80EDE" w:rsidRDefault="00E704B9" w:rsidP="002D52FD"/>
  <w:p w14:paraId="7C7F3512" w14:textId="77777777" w:rsidR="00E704B9" w:rsidRPr="00A80EDE" w:rsidRDefault="00E704B9" w:rsidP="002D52FD"/>
  <w:p w14:paraId="3723FEFB" w14:textId="77777777" w:rsidR="00E704B9" w:rsidRPr="00A80EDE" w:rsidRDefault="00E704B9" w:rsidP="002D52FD"/>
  <w:p w14:paraId="18F287C7" w14:textId="77777777" w:rsidR="00E704B9" w:rsidRPr="00A80EDE" w:rsidRDefault="00E704B9" w:rsidP="000C67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EFB7" w14:textId="77777777" w:rsidR="00E704B9" w:rsidRPr="00A80EDE" w:rsidRDefault="00E704B9">
    <w:pPr>
      <w:pStyle w:val="Subsol"/>
      <w:rPr>
        <w:sz w:val="20"/>
        <w:szCs w:val="20"/>
      </w:rPr>
    </w:pPr>
    <w:r w:rsidRPr="00A80EDE">
      <w:rPr>
        <w:sz w:val="20"/>
        <w:szCs w:val="20"/>
      </w:rPr>
      <w:t xml:space="preserve">Page </w:t>
    </w:r>
    <w:r w:rsidRPr="00A80EDE">
      <w:rPr>
        <w:sz w:val="20"/>
        <w:szCs w:val="20"/>
      </w:rPr>
      <w:fldChar w:fldCharType="begin"/>
    </w:r>
    <w:r w:rsidRPr="00A80EDE">
      <w:rPr>
        <w:sz w:val="20"/>
        <w:szCs w:val="20"/>
      </w:rPr>
      <w:instrText xml:space="preserve"> PAGE </w:instrText>
    </w:r>
    <w:r w:rsidRPr="00A80EDE">
      <w:rPr>
        <w:sz w:val="20"/>
        <w:szCs w:val="20"/>
      </w:rPr>
      <w:fldChar w:fldCharType="separate"/>
    </w:r>
    <w:r w:rsidRPr="00A80EDE">
      <w:rPr>
        <w:sz w:val="20"/>
        <w:szCs w:val="20"/>
      </w:rPr>
      <w:t>2</w:t>
    </w:r>
    <w:r w:rsidRPr="00A80EDE">
      <w:rPr>
        <w:sz w:val="20"/>
        <w:szCs w:val="20"/>
      </w:rPr>
      <w:fldChar w:fldCharType="end"/>
    </w:r>
    <w:r w:rsidRPr="00A80EDE">
      <w:rPr>
        <w:sz w:val="20"/>
        <w:szCs w:val="20"/>
      </w:rPr>
      <w:t xml:space="preserve"> of </w:t>
    </w:r>
    <w:r w:rsidRPr="00A80EDE">
      <w:rPr>
        <w:sz w:val="20"/>
        <w:szCs w:val="20"/>
      </w:rPr>
      <w:fldChar w:fldCharType="begin"/>
    </w:r>
    <w:r w:rsidRPr="00A80EDE">
      <w:rPr>
        <w:sz w:val="20"/>
        <w:szCs w:val="20"/>
      </w:rPr>
      <w:instrText xml:space="preserve"> NUMPAGES </w:instrText>
    </w:r>
    <w:r w:rsidRPr="00A80EDE">
      <w:rPr>
        <w:sz w:val="20"/>
        <w:szCs w:val="20"/>
      </w:rPr>
      <w:fldChar w:fldCharType="separate"/>
    </w:r>
    <w:r w:rsidRPr="00A80EDE">
      <w:rPr>
        <w:sz w:val="20"/>
        <w:szCs w:val="20"/>
      </w:rPr>
      <w:t>2</w:t>
    </w:r>
    <w:r w:rsidRPr="00A80EDE">
      <w:rPr>
        <w:sz w:val="20"/>
        <w:szCs w:val="20"/>
      </w:rPr>
      <w:fldChar w:fldCharType="end"/>
    </w:r>
  </w:p>
  <w:p w14:paraId="5820F74D" w14:textId="77777777" w:rsidR="00E704B9" w:rsidRPr="00A80EDE" w:rsidRDefault="00E704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A0CA8" w14:textId="77777777" w:rsidR="00537A89" w:rsidRPr="00A80EDE" w:rsidRDefault="00537A89" w:rsidP="00E5361D">
      <w:r w:rsidRPr="00A80EDE">
        <w:separator/>
      </w:r>
    </w:p>
  </w:footnote>
  <w:footnote w:type="continuationSeparator" w:id="0">
    <w:p w14:paraId="1E25DAD3" w14:textId="77777777" w:rsidR="00537A89" w:rsidRPr="00A80EDE" w:rsidRDefault="00537A89" w:rsidP="00E5361D">
      <w:r w:rsidRPr="00A80EDE">
        <w:continuationSeparator/>
      </w:r>
    </w:p>
  </w:footnote>
  <w:footnote w:type="continuationNotice" w:id="1">
    <w:p w14:paraId="54745B77" w14:textId="77777777" w:rsidR="00537A89" w:rsidRPr="00A80EDE" w:rsidRDefault="00537A89" w:rsidP="00E5361D"/>
  </w:footnote>
  <w:footnote w:id="2">
    <w:p w14:paraId="0EE28A8E" w14:textId="0D8C107B" w:rsidR="00E704B9" w:rsidRPr="00A80EDE" w:rsidRDefault="00E704B9" w:rsidP="000C67F7">
      <w:pPr>
        <w:pStyle w:val="Textnotdesubsol"/>
        <w:spacing w:before="0" w:after="0" w:line="240" w:lineRule="auto"/>
        <w:contextualSpacing/>
        <w:rPr>
          <w:lang w:val="en-GB"/>
        </w:rPr>
      </w:pPr>
      <w:r w:rsidRPr="00A80EDE">
        <w:rPr>
          <w:rStyle w:val="Referinnotdesubsol"/>
          <w:lang w:val="en-GB"/>
        </w:rPr>
        <w:footnoteRef/>
      </w:r>
      <w:r w:rsidRPr="00A80EDE">
        <w:rPr>
          <w:lang w:val="en-GB"/>
        </w:rPr>
        <w:t xml:space="preserve"> </w:t>
      </w:r>
      <w:hyperlink r:id="rId1" w:history="1">
        <w:r w:rsidRPr="00A80EDE">
          <w:rPr>
            <w:rStyle w:val="Hyperlink"/>
            <w:lang w:val="en-GB"/>
          </w:rPr>
          <w:t>wp12_final_report.pdf (europa.eu)</w:t>
        </w:r>
      </w:hyperlink>
      <w:r w:rsidRPr="00A80EDE">
        <w:rPr>
          <w:lang w:val="en-GB"/>
        </w:rPr>
        <w:t xml:space="preserve"> pp. 43, 49, graphic representation fig. 14.</w:t>
      </w:r>
    </w:p>
  </w:footnote>
  <w:footnote w:id="3">
    <w:p w14:paraId="68C2B0F7" w14:textId="50EDC352" w:rsidR="00E704B9" w:rsidRPr="00A80EDE" w:rsidRDefault="00E704B9" w:rsidP="000C67F7">
      <w:pPr>
        <w:pStyle w:val="Textnotdesubsol"/>
        <w:spacing w:before="0" w:after="0"/>
        <w:contextualSpacing/>
        <w:rPr>
          <w:sz w:val="18"/>
          <w:szCs w:val="18"/>
          <w:lang w:val="en-GB"/>
        </w:rPr>
      </w:pPr>
      <w:r w:rsidRPr="00A80EDE">
        <w:rPr>
          <w:rStyle w:val="Referinnotdesubsol"/>
          <w:sz w:val="18"/>
          <w:szCs w:val="18"/>
          <w:lang w:val="en-GB"/>
        </w:rPr>
        <w:footnoteRef/>
      </w:r>
      <w:r w:rsidRPr="00A80EDE">
        <w:rPr>
          <w:sz w:val="18"/>
          <w:szCs w:val="18"/>
          <w:lang w:val="en-GB"/>
        </w:rPr>
        <w:t xml:space="preserve"> Regulation (EU) 2021/1060, Article 2(3) defines the management and control system as follows: "management and control system" means the system established by the Member States at programme level to ensure the management and monitoring of programmes and the prevention, detection and correction of irregularities'</w:t>
      </w:r>
    </w:p>
  </w:footnote>
  <w:footnote w:id="4">
    <w:p w14:paraId="6DEEF19C" w14:textId="31910D2B" w:rsidR="00E704B9" w:rsidRPr="00A80EDE" w:rsidRDefault="00E704B9" w:rsidP="00143AD6">
      <w:pPr>
        <w:pStyle w:val="Numparagraphnormal"/>
        <w:rPr>
          <w:sz w:val="18"/>
        </w:rPr>
      </w:pPr>
      <w:r w:rsidRPr="00A80EDE">
        <w:rPr>
          <w:sz w:val="18"/>
        </w:rPr>
        <w:footnoteRef/>
      </w:r>
      <w:r w:rsidRPr="00A80EDE">
        <w:rPr>
          <w:sz w:val="18"/>
        </w:rPr>
        <w:t xml:space="preserve"> According to Regulation (EU) 2021/1060, art. 76 performs the following functions: (a) preparing and transmitting payment requests to the European Commission; b) preparing and presenting accounts, confirming the completeness, accuracy and veracity of accounts and keeping electronic records for all account items, including payment requests; </w:t>
      </w:r>
      <w:r w:rsidRPr="00A80EDE">
        <w:rPr>
          <w:sz w:val="18"/>
          <w:szCs w:val="18"/>
        </w:rPr>
        <w:t>(c) the conversion into euro of expenditure incurred in national currency on the basis of the Commission's monthly accounting exchange rate for the month in which the expenditure is recorded in the accounting systems of the body responsible for carrying out the tasks referred to in this Article).</w:t>
      </w:r>
    </w:p>
  </w:footnote>
  <w:footnote w:id="5">
    <w:p w14:paraId="7A214A3C" w14:textId="5E5DCCB6" w:rsidR="00E704B9" w:rsidRPr="00A80EDE" w:rsidRDefault="00E704B9">
      <w:pPr>
        <w:pStyle w:val="Textnotdesubsol"/>
        <w:rPr>
          <w:sz w:val="18"/>
          <w:szCs w:val="18"/>
          <w:lang w:val="en-GB"/>
        </w:rPr>
      </w:pPr>
      <w:r w:rsidRPr="00A80EDE">
        <w:rPr>
          <w:rStyle w:val="Referinnotdesubsol"/>
          <w:sz w:val="18"/>
          <w:szCs w:val="18"/>
          <w:lang w:val="en-GB"/>
        </w:rPr>
        <w:footnoteRef/>
      </w:r>
      <w:r w:rsidRPr="00A80EDE">
        <w:rPr>
          <w:sz w:val="18"/>
          <w:szCs w:val="18"/>
          <w:lang w:val="en-GB"/>
        </w:rPr>
        <w:t xml:space="preserve"> Bachtler, J., &amp; Mendez, C. (2020). Cohesion Policy. Policy-Making in the European Union and Stefan Kah, Carlos Mendez, J. Bachtler, S. Miller. Strategic Coherence of Cohesion Policy : Comparison of the 2007-13 and 2014-20 Programming Periods</w:t>
      </w:r>
    </w:p>
  </w:footnote>
  <w:footnote w:id="6">
    <w:p w14:paraId="0BA46BBE" w14:textId="72E21555" w:rsidR="00E704B9" w:rsidRPr="00A80EDE" w:rsidRDefault="00E704B9" w:rsidP="000C67F7">
      <w:pPr>
        <w:pStyle w:val="Textnotdesubsol"/>
        <w:rPr>
          <w:lang w:val="en-GB"/>
        </w:rPr>
      </w:pPr>
      <w:r w:rsidRPr="00A80EDE">
        <w:rPr>
          <w:rStyle w:val="Referinnotdesubsol"/>
          <w:lang w:val="en-GB"/>
        </w:rPr>
        <w:footnoteRef/>
      </w:r>
      <w:r w:rsidRPr="00A80EDE">
        <w:rPr>
          <w:sz w:val="18"/>
          <w:szCs w:val="18"/>
          <w:lang w:val="en-GB"/>
        </w:rPr>
        <w:t xml:space="preserve"> </w:t>
      </w:r>
      <w:hyperlink r:id="rId2" w:history="1">
        <w:r w:rsidRPr="00A80EDE">
          <w:rPr>
            <w:rStyle w:val="Hyperlink"/>
            <w:sz w:val="18"/>
            <w:szCs w:val="18"/>
            <w:lang w:val="en-GB"/>
          </w:rPr>
          <w:t>https://www.mdpi.com/2079-8954/9/2/35</w:t>
        </w:r>
      </w:hyperlink>
      <w:r w:rsidRPr="00A80EDE">
        <w:rPr>
          <w:sz w:val="18"/>
          <w:szCs w:val="18"/>
          <w:lang w:val="en-GB"/>
        </w:rPr>
        <w:t xml:space="preserve"> The Rise of Emergent Corporate Sustainability: A Self-Organised View</w:t>
      </w:r>
    </w:p>
  </w:footnote>
  <w:footnote w:id="7">
    <w:p w14:paraId="3B8B9E7C" w14:textId="3E365606" w:rsidR="00E704B9" w:rsidRPr="00CC3A0D" w:rsidRDefault="00E704B9">
      <w:pPr>
        <w:pStyle w:val="Textnotdesubsol"/>
        <w:rPr>
          <w:sz w:val="18"/>
          <w:szCs w:val="18"/>
        </w:rPr>
      </w:pPr>
      <w:r w:rsidRPr="00A80EDE">
        <w:rPr>
          <w:rStyle w:val="Referinnotdesubsol"/>
          <w:sz w:val="18"/>
          <w:szCs w:val="18"/>
          <w:lang w:val="en-GB"/>
        </w:rPr>
        <w:footnoteRef/>
      </w:r>
      <w:r w:rsidRPr="00A80EDE">
        <w:rPr>
          <w:sz w:val="18"/>
          <w:szCs w:val="18"/>
          <w:lang w:val="en-GB"/>
        </w:rPr>
        <w:t xml:space="preserve"> </w:t>
      </w:r>
      <w:r w:rsidRPr="00A80EDE">
        <w:rPr>
          <w:rFonts w:eastAsia="Aptos"/>
          <w:sz w:val="18"/>
          <w:szCs w:val="18"/>
          <w:lang w:val="en-GB" w:eastAsia="en-US"/>
          <w14:ligatures w14:val="standardContextual"/>
        </w:rPr>
        <w:t>Francesco Mantino, Giovanna De Fano, Gianluca Asaro (2022). Analysing the Policy Delivery System and Effects on Territorial Disparities in Italy: The Mechanisms of Territorial Targeting in the EU Rural Development Programmes 2014–2020.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951E" w14:textId="77777777" w:rsidR="00E704B9" w:rsidRPr="00A80EDE" w:rsidRDefault="00E704B9" w:rsidP="002D52FD">
    <w:pPr>
      <w:pStyle w:val="Antet"/>
    </w:pPr>
  </w:p>
  <w:p w14:paraId="27185FBD" w14:textId="77777777" w:rsidR="00E704B9" w:rsidRPr="00A80EDE" w:rsidRDefault="00E704B9" w:rsidP="002D52FD"/>
  <w:p w14:paraId="6D1DA635" w14:textId="77777777" w:rsidR="00E704B9" w:rsidRPr="00A80EDE" w:rsidRDefault="00E704B9" w:rsidP="002D52FD"/>
  <w:p w14:paraId="257E2336" w14:textId="77777777" w:rsidR="00E704B9" w:rsidRPr="00A80EDE" w:rsidRDefault="00E704B9" w:rsidP="002D52FD"/>
  <w:p w14:paraId="5444C4A0" w14:textId="77777777" w:rsidR="00E704B9" w:rsidRPr="00A80EDE" w:rsidRDefault="00E704B9" w:rsidP="000C67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2510" w14:textId="74EE31F4" w:rsidR="00E704B9" w:rsidRPr="00A80EDE" w:rsidRDefault="00E704B9">
    <w:pPr>
      <w:pStyle w:val="Antet"/>
    </w:pPr>
    <w:r w:rsidRPr="00A80EDE">
      <w:rPr>
        <w:noProof/>
      </w:rPr>
      <w:drawing>
        <wp:anchor distT="0" distB="0" distL="114300" distR="114300" simplePos="0" relativeHeight="251658240" behindDoc="0" locked="0" layoutInCell="1" allowOverlap="1" wp14:anchorId="1156D59E" wp14:editId="4B4DBB35">
          <wp:simplePos x="0" y="0"/>
          <wp:positionH relativeFrom="column">
            <wp:posOffset>4626610</wp:posOffset>
          </wp:positionH>
          <wp:positionV relativeFrom="page">
            <wp:posOffset>498475</wp:posOffset>
          </wp:positionV>
          <wp:extent cx="1183005" cy="344170"/>
          <wp:effectExtent l="0" t="0" r="0" b="0"/>
          <wp:wrapTopAndBottom/>
          <wp:docPr id="1155364897"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EDE">
      <w:rPr>
        <w:noProof/>
      </w:rPr>
      <w:drawing>
        <wp:anchor distT="0" distB="0" distL="114300" distR="114300" simplePos="0" relativeHeight="251658241" behindDoc="0" locked="0" layoutInCell="1" allowOverlap="1" wp14:anchorId="0013AB90" wp14:editId="0DA9557C">
          <wp:simplePos x="0" y="0"/>
          <wp:positionH relativeFrom="column">
            <wp:posOffset>2779395</wp:posOffset>
          </wp:positionH>
          <wp:positionV relativeFrom="page">
            <wp:posOffset>324485</wp:posOffset>
          </wp:positionV>
          <wp:extent cx="688975" cy="688975"/>
          <wp:effectExtent l="0" t="0" r="0" b="0"/>
          <wp:wrapTopAndBottom/>
          <wp:docPr id="1238480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6996" name="Picture 1" descr="A blue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EDE">
      <w:rPr>
        <w:noProof/>
      </w:rPr>
      <w:drawing>
        <wp:anchor distT="0" distB="0" distL="114300" distR="114300" simplePos="0" relativeHeight="251658242" behindDoc="0" locked="0" layoutInCell="1" allowOverlap="1" wp14:anchorId="344122EE" wp14:editId="41E5E463">
          <wp:simplePos x="0" y="0"/>
          <wp:positionH relativeFrom="column">
            <wp:posOffset>-26035</wp:posOffset>
          </wp:positionH>
          <wp:positionV relativeFrom="page">
            <wp:posOffset>496570</wp:posOffset>
          </wp:positionV>
          <wp:extent cx="1646555" cy="344170"/>
          <wp:effectExtent l="0" t="0" r="0" b="0"/>
          <wp:wrapTopAndBottom/>
          <wp:docPr id="2131292604"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3905" name="Picture 3" descr="Blue text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650"/>
    <w:multiLevelType w:val="hybridMultilevel"/>
    <w:tmpl w:val="8F16C85C"/>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154573"/>
    <w:multiLevelType w:val="hybridMultilevel"/>
    <w:tmpl w:val="329015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E6E54"/>
    <w:multiLevelType w:val="multilevel"/>
    <w:tmpl w:val="BA3AE420"/>
    <w:styleLink w:val="LFO7"/>
    <w:lvl w:ilvl="0">
      <w:numFmt w:val="bullet"/>
      <w:lvlText w:val=""/>
      <w:lvlJc w:val="left"/>
      <w:pPr>
        <w:ind w:left="1080" w:hanging="360"/>
      </w:pPr>
      <w:rPr>
        <w:rFonts w:ascii="Symbol" w:hAnsi="Symbol"/>
        <w:color w:val="92D050"/>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EA57029"/>
    <w:multiLevelType w:val="multilevel"/>
    <w:tmpl w:val="2EE69132"/>
    <w:styleLink w:val="LFO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FA61576"/>
    <w:multiLevelType w:val="multilevel"/>
    <w:tmpl w:val="ECFE6466"/>
    <w:styleLink w:val="LFO19"/>
    <w:lvl w:ilvl="0">
      <w:numFmt w:val="bullet"/>
      <w:lvlText w:val=""/>
      <w:lvlJc w:val="left"/>
      <w:pPr>
        <w:ind w:left="720"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 w15:restartNumberingAfterBreak="0">
    <w:nsid w:val="118C6472"/>
    <w:multiLevelType w:val="multilevel"/>
    <w:tmpl w:val="7F5A2E54"/>
    <w:styleLink w:val="LFO4"/>
    <w:lvl w:ilvl="0">
      <w:numFmt w:val="bullet"/>
      <w:lvlText w:val=""/>
      <w:lvlJc w:val="left"/>
      <w:pPr>
        <w:ind w:left="360" w:hanging="360"/>
      </w:pPr>
      <w:rPr>
        <w:rFonts w:ascii="Wingdings 3" w:hAnsi="Wingdings 3"/>
        <w:color w:val="FFC000"/>
        <w:sz w:val="16"/>
      </w:rPr>
    </w:lvl>
    <w:lvl w:ilvl="1">
      <w:numFmt w:val="bullet"/>
      <w:lvlText w:val="o"/>
      <w:lvlJc w:val="left"/>
      <w:pPr>
        <w:ind w:left="1080" w:hanging="360"/>
      </w:pPr>
      <w:rPr>
        <w:rFonts w:ascii="Courier New" w:hAnsi="Courier New"/>
        <w:color w:val="232323"/>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 w15:restartNumberingAfterBreak="0">
    <w:nsid w:val="11C02B82"/>
    <w:multiLevelType w:val="hybridMultilevel"/>
    <w:tmpl w:val="328EC2CC"/>
    <w:styleLink w:val="LFO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48B57EA"/>
    <w:multiLevelType w:val="multilevel"/>
    <w:tmpl w:val="69D0B8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C0BD0"/>
    <w:multiLevelType w:val="hybridMultilevel"/>
    <w:tmpl w:val="9DB018AA"/>
    <w:lvl w:ilvl="0" w:tplc="9D5C7ED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192717"/>
    <w:multiLevelType w:val="multilevel"/>
    <w:tmpl w:val="A84E59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20894DC8"/>
    <w:multiLevelType w:val="multilevel"/>
    <w:tmpl w:val="70A843A6"/>
    <w:styleLink w:val="LFO1"/>
    <w:lvl w:ilvl="0">
      <w:numFmt w:val="bullet"/>
      <w:lvlText w:val=""/>
      <w:lvlJc w:val="left"/>
      <w:pPr>
        <w:ind w:left="720" w:hanging="360"/>
      </w:pPr>
      <w:rPr>
        <w:rFonts w:ascii="Times New Roman" w:hAnsi="Times New Roman"/>
        <w:b w:val="0"/>
        <w:bCs w:val="0"/>
        <w:i w:val="0"/>
        <w:iCs w:val="0"/>
        <w:caps w:val="0"/>
        <w:smallCaps w:val="0"/>
        <w:strike w:val="0"/>
        <w:dstrike w:val="0"/>
        <w:vanish w:val="0"/>
        <w:color w:val="000000"/>
        <w:spacing w:val="0"/>
        <w:w w:val="1"/>
        <w:kern w:val="0"/>
        <w:position w:val="0"/>
        <w:u w:val="none" w:color="000000"/>
        <w:shd w:val="clear" w:color="auto" w:fill="000000"/>
        <w:vertAlign w:val="baseline"/>
        <w:em w:val="no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209E1580"/>
    <w:multiLevelType w:val="multilevel"/>
    <w:tmpl w:val="0E2E5A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46F6371"/>
    <w:multiLevelType w:val="multilevel"/>
    <w:tmpl w:val="5A62F992"/>
    <w:styleLink w:val="List0"/>
    <w:lvl w:ilvl="0">
      <w:numFmt w:val="bullet"/>
      <w:pStyle w:val="Normalbullet"/>
      <w:lvlText w:val=""/>
      <w:lvlJc w:val="left"/>
      <w:pPr>
        <w:ind w:left="108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3" w15:restartNumberingAfterBreak="0">
    <w:nsid w:val="25084F02"/>
    <w:multiLevelType w:val="multilevel"/>
    <w:tmpl w:val="6B8E8F3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2714745E"/>
    <w:multiLevelType w:val="hybridMultilevel"/>
    <w:tmpl w:val="329015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99A450F"/>
    <w:multiLevelType w:val="hybridMultilevel"/>
    <w:tmpl w:val="24868E2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2CA3158C"/>
    <w:multiLevelType w:val="multilevel"/>
    <w:tmpl w:val="C5CA7C26"/>
    <w:styleLink w:val="LFO3"/>
    <w:lvl w:ilvl="0">
      <w:numFmt w:val="bullet"/>
      <w:lvlText w:val=""/>
      <w:lvlJc w:val="left"/>
      <w:pPr>
        <w:ind w:left="720" w:hanging="360"/>
      </w:pPr>
      <w:rPr>
        <w:rFonts w:ascii="Symbol" w:hAnsi="Symbol"/>
        <w:color w:val="ED7D31"/>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32AB7935"/>
    <w:multiLevelType w:val="multilevel"/>
    <w:tmpl w:val="69D0B8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165BD6"/>
    <w:multiLevelType w:val="multilevel"/>
    <w:tmpl w:val="DEA04278"/>
    <w:styleLink w:val="LFO5"/>
    <w:lvl w:ilvl="0">
      <w:numFmt w:val="bullet"/>
      <w:lvlText w:val="–"/>
      <w:lvlJc w:val="left"/>
      <w:pPr>
        <w:ind w:left="283" w:hanging="283"/>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35AD7B7F"/>
    <w:multiLevelType w:val="multilevel"/>
    <w:tmpl w:val="69D0B8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23492"/>
    <w:multiLevelType w:val="multilevel"/>
    <w:tmpl w:val="AEB263F4"/>
    <w:lvl w:ilvl="0">
      <w:start w:val="1"/>
      <w:numFmt w:val="decimal"/>
      <w:lvlText w:val="%1."/>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21" w15:restartNumberingAfterBreak="0">
    <w:nsid w:val="404C714F"/>
    <w:multiLevelType w:val="hybridMultilevel"/>
    <w:tmpl w:val="74AA07C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48CD1ADF"/>
    <w:multiLevelType w:val="multilevel"/>
    <w:tmpl w:val="06949B18"/>
    <w:styleLink w:val="LFO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4B570CCB"/>
    <w:multiLevelType w:val="multilevel"/>
    <w:tmpl w:val="00AE9256"/>
    <w:styleLink w:val="WWOutlineListStyl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15:restartNumberingAfterBreak="0">
    <w:nsid w:val="4C953E7E"/>
    <w:multiLevelType w:val="multilevel"/>
    <w:tmpl w:val="69D0B8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C13FDC"/>
    <w:multiLevelType w:val="multilevel"/>
    <w:tmpl w:val="36DAB5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B65EF6"/>
    <w:multiLevelType w:val="multilevel"/>
    <w:tmpl w:val="98EC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A11539"/>
    <w:multiLevelType w:val="multilevel"/>
    <w:tmpl w:val="A5B470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8945B8E"/>
    <w:multiLevelType w:val="multilevel"/>
    <w:tmpl w:val="25B03E8A"/>
    <w:lvl w:ilvl="0">
      <w:start w:val="5"/>
      <w:numFmt w:val="bullet"/>
      <w:lvlText w:val="-"/>
      <w:lvlJc w:val="left"/>
      <w:pPr>
        <w:tabs>
          <w:tab w:val="num" w:pos="1080"/>
        </w:tabs>
        <w:ind w:left="1080" w:hanging="360"/>
      </w:pPr>
      <w:rPr>
        <w:rFonts w:ascii="Arial" w:eastAsiaTheme="minorEastAsia" w:hAnsi="Arial" w:cs="Arial" w:hint="default"/>
        <w:i/>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59CD47C3"/>
    <w:multiLevelType w:val="multilevel"/>
    <w:tmpl w:val="8F6C913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0" w15:restartNumberingAfterBreak="0">
    <w:nsid w:val="60724B32"/>
    <w:multiLevelType w:val="multilevel"/>
    <w:tmpl w:val="1D9AE1CC"/>
    <w:styleLink w:val="LFO11"/>
    <w:lvl w:ilvl="0">
      <w:start w:val="1"/>
      <w:numFmt w:val="decimal"/>
      <w:lvlText w:val="%1."/>
      <w:lvlJc w:val="left"/>
      <w:pPr>
        <w:ind w:left="1701" w:hanging="567"/>
      </w:pPr>
      <w:rPr>
        <w:rFonts w:ascii="Arial" w:hAnsi="Arial"/>
        <w:color w:val="auto"/>
        <w:sz w:val="22"/>
        <w:szCs w:val="22"/>
      </w:rPr>
    </w:lvl>
    <w:lvl w:ilvl="1">
      <w:start w:val="1"/>
      <w:numFmt w:val="decimal"/>
      <w:lvlText w:val="%1.%2"/>
      <w:lvlJc w:val="left"/>
      <w:pPr>
        <w:ind w:left="1026" w:hanging="576"/>
      </w:pPr>
      <w:rPr>
        <w:b/>
        <w:bCs/>
        <w:color w:val="auto"/>
        <w:sz w:val="20"/>
        <w:szCs w:val="22"/>
      </w:rPr>
    </w:lvl>
    <w:lvl w:ilvl="2">
      <w:start w:val="1"/>
      <w:numFmt w:val="decimal"/>
      <w:lvlText w:val="%1.%2.%3"/>
      <w:lvlJc w:val="left"/>
      <w:pPr>
        <w:ind w:left="1647" w:hanging="567"/>
      </w:pPr>
      <w:rPr>
        <w:color w:val="auto"/>
        <w:lang w:val="fr-FR"/>
      </w:rPr>
    </w:lvl>
    <w:lvl w:ilvl="3">
      <w:start w:val="1"/>
      <w:numFmt w:val="decimal"/>
      <w:lvlText w:val="%1.%2.%3.%4"/>
      <w:lvlJc w:val="left"/>
      <w:pPr>
        <w:ind w:left="1998" w:hanging="864"/>
      </w:pPr>
      <w:rPr>
        <w:color w:val="auto"/>
      </w:rPr>
    </w:lvl>
    <w:lvl w:ilvl="4">
      <w:start w:val="1"/>
      <w:numFmt w:val="decimal"/>
      <w:lvlText w:val="%1.%2.%3.%4.%5"/>
      <w:lvlJc w:val="left"/>
      <w:pPr>
        <w:ind w:left="2142" w:hanging="1008"/>
      </w:pPr>
      <w:rPr>
        <w:color w:val="auto"/>
      </w:rPr>
    </w:lvl>
    <w:lvl w:ilvl="5">
      <w:start w:val="1"/>
      <w:numFmt w:val="decimal"/>
      <w:lvlText w:val="%1.%2.%3.%4.%5.%6"/>
      <w:lvlJc w:val="left"/>
      <w:pPr>
        <w:ind w:left="2286" w:hanging="1152"/>
      </w:pPr>
      <w:rPr>
        <w:color w:val="auto"/>
      </w:rPr>
    </w:lvl>
    <w:lvl w:ilvl="6">
      <w:start w:val="1"/>
      <w:numFmt w:val="decimal"/>
      <w:lvlText w:val="%1.%2.%3.%4.%5.%6.%7"/>
      <w:lvlJc w:val="left"/>
      <w:pPr>
        <w:ind w:left="2430" w:hanging="1296"/>
      </w:pPr>
      <w:rPr>
        <w:color w:val="000000"/>
      </w:rPr>
    </w:lvl>
    <w:lvl w:ilvl="7">
      <w:start w:val="1"/>
      <w:numFmt w:val="decimal"/>
      <w:lvlText w:val="%1.%2.%3.%4.%5.%6.%7.%8"/>
      <w:lvlJc w:val="left"/>
      <w:pPr>
        <w:ind w:left="2574" w:hanging="1440"/>
      </w:pPr>
      <w:rPr>
        <w:color w:val="000000"/>
      </w:rPr>
    </w:lvl>
    <w:lvl w:ilvl="8">
      <w:start w:val="1"/>
      <w:numFmt w:val="decimal"/>
      <w:lvlText w:val="%1.%2.%3.%4.%5.%6.%7.%8.%9"/>
      <w:lvlJc w:val="left"/>
      <w:pPr>
        <w:ind w:left="2718" w:hanging="1584"/>
      </w:pPr>
      <w:rPr>
        <w:color w:val="000000"/>
      </w:rPr>
    </w:lvl>
  </w:abstractNum>
  <w:abstractNum w:abstractNumId="31" w15:restartNumberingAfterBreak="0">
    <w:nsid w:val="644D1AAB"/>
    <w:multiLevelType w:val="hybridMultilevel"/>
    <w:tmpl w:val="4D505A82"/>
    <w:lvl w:ilvl="0" w:tplc="AFAE48F0">
      <w:start w:val="112"/>
      <w:numFmt w:val="decimal"/>
      <w:lvlText w:val="%1."/>
      <w:lvlJc w:val="left"/>
      <w:pPr>
        <w:ind w:left="720" w:hanging="360"/>
      </w:pPr>
      <w:rPr>
        <w:rFonts w:hint="default"/>
        <w:b w:val="0"/>
        <w:bCs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6853F25"/>
    <w:multiLevelType w:val="hybridMultilevel"/>
    <w:tmpl w:val="5EF0774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673947C6"/>
    <w:multiLevelType w:val="multilevel"/>
    <w:tmpl w:val="7C82199C"/>
    <w:styleLink w:val="LFO9"/>
    <w:lvl w:ilvl="0">
      <w:numFmt w:val="bullet"/>
      <w:lvlText w:val=""/>
      <w:lvlJc w:val="left"/>
      <w:pPr>
        <w:ind w:left="360" w:hanging="360"/>
      </w:pPr>
      <w:rPr>
        <w:rFonts w:ascii="Wingdings" w:hAnsi="Wingdings"/>
        <w:b w:val="0"/>
        <w:bCs w:val="0"/>
        <w:color w:val="82009B"/>
        <w:sz w:val="20"/>
        <w:szCs w:val="20"/>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34" w15:restartNumberingAfterBreak="0">
    <w:nsid w:val="693B5687"/>
    <w:multiLevelType w:val="multilevel"/>
    <w:tmpl w:val="6D5823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F20A0F"/>
    <w:multiLevelType w:val="multilevel"/>
    <w:tmpl w:val="36B04794"/>
    <w:styleLink w:val="Headings"/>
    <w:lvl w:ilvl="0">
      <w:numFmt w:val="bullet"/>
      <w:lvlText w:val=""/>
      <w:lvlJc w:val="left"/>
      <w:pPr>
        <w:ind w:left="928"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6" w15:restartNumberingAfterBreak="0">
    <w:nsid w:val="6FD634F2"/>
    <w:multiLevelType w:val="multilevel"/>
    <w:tmpl w:val="69D0B8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281185"/>
    <w:multiLevelType w:val="multilevel"/>
    <w:tmpl w:val="7A8E0902"/>
    <w:styleLink w:val="LFO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73BE197A"/>
    <w:multiLevelType w:val="multilevel"/>
    <w:tmpl w:val="8ACAD9EC"/>
    <w:lvl w:ilvl="0">
      <w:start w:val="5"/>
      <w:numFmt w:val="bullet"/>
      <w:lvlText w:val="-"/>
      <w:lvlJc w:val="left"/>
      <w:pPr>
        <w:tabs>
          <w:tab w:val="num" w:pos="1080"/>
        </w:tabs>
        <w:ind w:left="1080" w:hanging="360"/>
      </w:pPr>
      <w:rPr>
        <w:rFonts w:ascii="Arial" w:eastAsiaTheme="minorEastAsia" w:hAnsi="Arial" w:cs="Arial" w:hint="default"/>
        <w:i/>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55F171B"/>
    <w:multiLevelType w:val="hybridMultilevel"/>
    <w:tmpl w:val="6A5E181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79643DA6"/>
    <w:multiLevelType w:val="multilevel"/>
    <w:tmpl w:val="B5F2821E"/>
    <w:styleLink w:val="LFO10"/>
    <w:lvl w:ilvl="0">
      <w:start w:val="1"/>
      <w:numFmt w:val="decimal"/>
      <w:lvlText w:val="%1."/>
      <w:lvlJc w:val="left"/>
      <w:pPr>
        <w:ind w:left="0" w:hanging="360"/>
      </w:pPr>
      <w:rPr>
        <w:b w:val="0"/>
        <w:bCs/>
      </w:rPr>
    </w:lvl>
    <w:lvl w:ilvl="1">
      <w:start w:val="1"/>
      <w:numFmt w:val="lowerLetter"/>
      <w:lvlText w:val="."/>
      <w:lvlJc w:val="left"/>
      <w:pPr>
        <w:ind w:left="720" w:hanging="360"/>
      </w:pPr>
    </w:lvl>
    <w:lvl w:ilvl="2">
      <w:start w:val="1"/>
      <w:numFmt w:val="lowerRoman"/>
      <w:lvlText w:val="."/>
      <w:lvlJc w:val="right"/>
      <w:pPr>
        <w:ind w:left="1440" w:hanging="180"/>
      </w:pPr>
    </w:lvl>
    <w:lvl w:ilvl="3">
      <w:start w:val="1"/>
      <w:numFmt w:val="decimal"/>
      <w:lvlText w:val="."/>
      <w:lvlJc w:val="left"/>
      <w:pPr>
        <w:ind w:left="2160" w:hanging="360"/>
      </w:pPr>
    </w:lvl>
    <w:lvl w:ilvl="4">
      <w:start w:val="1"/>
      <w:numFmt w:val="lowerLetter"/>
      <w:lvlText w:val="."/>
      <w:lvlJc w:val="left"/>
      <w:pPr>
        <w:ind w:left="2880" w:hanging="360"/>
      </w:pPr>
    </w:lvl>
    <w:lvl w:ilvl="5">
      <w:start w:val="1"/>
      <w:numFmt w:val="lowerRoman"/>
      <w:lvlText w:val="."/>
      <w:lvlJc w:val="right"/>
      <w:pPr>
        <w:ind w:left="3600" w:hanging="180"/>
      </w:pPr>
    </w:lvl>
    <w:lvl w:ilvl="6">
      <w:start w:val="1"/>
      <w:numFmt w:val="decimal"/>
      <w:lvlText w:val="."/>
      <w:lvlJc w:val="left"/>
      <w:pPr>
        <w:ind w:left="4320" w:hanging="360"/>
      </w:pPr>
    </w:lvl>
    <w:lvl w:ilvl="7">
      <w:start w:val="1"/>
      <w:numFmt w:val="lowerLetter"/>
      <w:lvlText w:val="."/>
      <w:lvlJc w:val="left"/>
      <w:pPr>
        <w:ind w:left="5040" w:hanging="360"/>
      </w:pPr>
    </w:lvl>
    <w:lvl w:ilvl="8">
      <w:start w:val="1"/>
      <w:numFmt w:val="lowerRoman"/>
      <w:lvlText w:val="."/>
      <w:lvlJc w:val="right"/>
      <w:pPr>
        <w:ind w:left="5760" w:hanging="180"/>
      </w:pPr>
    </w:lvl>
  </w:abstractNum>
  <w:abstractNum w:abstractNumId="41" w15:restartNumberingAfterBreak="0">
    <w:nsid w:val="7C341B77"/>
    <w:multiLevelType w:val="multilevel"/>
    <w:tmpl w:val="BCDA6752"/>
    <w:styleLink w:val="LFO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num w:numId="1" w16cid:durableId="842165094">
    <w:abstractNumId w:val="20"/>
  </w:num>
  <w:num w:numId="2" w16cid:durableId="529992604">
    <w:abstractNumId w:val="23"/>
  </w:num>
  <w:num w:numId="3" w16cid:durableId="492457806">
    <w:abstractNumId w:val="12"/>
  </w:num>
  <w:num w:numId="4" w16cid:durableId="1980455639">
    <w:abstractNumId w:val="35"/>
  </w:num>
  <w:num w:numId="5" w16cid:durableId="821703454">
    <w:abstractNumId w:val="10"/>
  </w:num>
  <w:num w:numId="6" w16cid:durableId="1178691145">
    <w:abstractNumId w:val="37"/>
  </w:num>
  <w:num w:numId="7" w16cid:durableId="2002543915">
    <w:abstractNumId w:val="16"/>
  </w:num>
  <w:num w:numId="8" w16cid:durableId="839194513">
    <w:abstractNumId w:val="5"/>
  </w:num>
  <w:num w:numId="9" w16cid:durableId="1159151512">
    <w:abstractNumId w:val="18"/>
  </w:num>
  <w:num w:numId="10" w16cid:durableId="599070601">
    <w:abstractNumId w:val="41"/>
  </w:num>
  <w:num w:numId="11" w16cid:durableId="875585069">
    <w:abstractNumId w:val="2"/>
  </w:num>
  <w:num w:numId="12" w16cid:durableId="733160730">
    <w:abstractNumId w:val="3"/>
  </w:num>
  <w:num w:numId="13" w16cid:durableId="1880429291">
    <w:abstractNumId w:val="33"/>
  </w:num>
  <w:num w:numId="14" w16cid:durableId="1926721889">
    <w:abstractNumId w:val="40"/>
  </w:num>
  <w:num w:numId="15" w16cid:durableId="490289183">
    <w:abstractNumId w:val="30"/>
  </w:num>
  <w:num w:numId="16" w16cid:durableId="1901136073">
    <w:abstractNumId w:val="6"/>
    <w:lvlOverride w:ilvl="0">
      <w:lvl w:ilvl="0" w:tplc="04180001">
        <w:start w:val="1"/>
        <w:numFmt w:val="decimal"/>
        <w:lvlText w:val="%1."/>
        <w:lvlJc w:val="left"/>
        <w:pPr>
          <w:ind w:left="720" w:hanging="360"/>
        </w:pPr>
      </w:lvl>
    </w:lvlOverride>
  </w:num>
  <w:num w:numId="17" w16cid:durableId="25376123">
    <w:abstractNumId w:val="4"/>
  </w:num>
  <w:num w:numId="18" w16cid:durableId="861698800">
    <w:abstractNumId w:val="22"/>
  </w:num>
  <w:num w:numId="19" w16cid:durableId="328338553">
    <w:abstractNumId w:val="8"/>
  </w:num>
  <w:num w:numId="20" w16cid:durableId="999580565">
    <w:abstractNumId w:val="8"/>
    <w:lvlOverride w:ilvl="0">
      <w:startOverride w:val="1"/>
    </w:lvlOverride>
  </w:num>
  <w:num w:numId="21" w16cid:durableId="1334336810">
    <w:abstractNumId w:val="25"/>
  </w:num>
  <w:num w:numId="22" w16cid:durableId="2140757871">
    <w:abstractNumId w:val="28"/>
  </w:num>
  <w:num w:numId="23" w16cid:durableId="923343584">
    <w:abstractNumId w:val="38"/>
  </w:num>
  <w:num w:numId="24" w16cid:durableId="1629310701">
    <w:abstractNumId w:val="9"/>
  </w:num>
  <w:num w:numId="25" w16cid:durableId="1293562551">
    <w:abstractNumId w:val="27"/>
  </w:num>
  <w:num w:numId="26" w16cid:durableId="111872586">
    <w:abstractNumId w:val="11"/>
  </w:num>
  <w:num w:numId="27" w16cid:durableId="1830518139">
    <w:abstractNumId w:val="21"/>
  </w:num>
  <w:num w:numId="28" w16cid:durableId="963384673">
    <w:abstractNumId w:val="6"/>
  </w:num>
  <w:num w:numId="29" w16cid:durableId="55670925">
    <w:abstractNumId w:val="15"/>
  </w:num>
  <w:num w:numId="30" w16cid:durableId="427851448">
    <w:abstractNumId w:val="32"/>
  </w:num>
  <w:num w:numId="31" w16cid:durableId="28914722">
    <w:abstractNumId w:val="13"/>
  </w:num>
  <w:num w:numId="32" w16cid:durableId="945579482">
    <w:abstractNumId w:val="0"/>
  </w:num>
  <w:num w:numId="33" w16cid:durableId="1063872123">
    <w:abstractNumId w:val="31"/>
  </w:num>
  <w:num w:numId="34" w16cid:durableId="785848924">
    <w:abstractNumId w:val="36"/>
  </w:num>
  <w:num w:numId="35" w16cid:durableId="1797986999">
    <w:abstractNumId w:val="39"/>
  </w:num>
  <w:num w:numId="36" w16cid:durableId="188182350">
    <w:abstractNumId w:val="29"/>
  </w:num>
  <w:num w:numId="37" w16cid:durableId="802695832">
    <w:abstractNumId w:val="7"/>
  </w:num>
  <w:num w:numId="38" w16cid:durableId="630092532">
    <w:abstractNumId w:val="24"/>
  </w:num>
  <w:num w:numId="39" w16cid:durableId="397897942">
    <w:abstractNumId w:val="19"/>
  </w:num>
  <w:num w:numId="40" w16cid:durableId="1874616193">
    <w:abstractNumId w:val="17"/>
  </w:num>
  <w:num w:numId="41" w16cid:durableId="1791120098">
    <w:abstractNumId w:val="34"/>
  </w:num>
  <w:num w:numId="42" w16cid:durableId="223640572">
    <w:abstractNumId w:val="26"/>
  </w:num>
  <w:num w:numId="43" w16cid:durableId="201288163">
    <w:abstractNumId w:val="14"/>
  </w:num>
  <w:num w:numId="44" w16cid:durableId="387649973">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EC"/>
    <w:rsid w:val="0000001E"/>
    <w:rsid w:val="0000002E"/>
    <w:rsid w:val="000000AF"/>
    <w:rsid w:val="0000011C"/>
    <w:rsid w:val="000001A6"/>
    <w:rsid w:val="000001F1"/>
    <w:rsid w:val="000002AB"/>
    <w:rsid w:val="000002CC"/>
    <w:rsid w:val="000003A7"/>
    <w:rsid w:val="000004DB"/>
    <w:rsid w:val="00000603"/>
    <w:rsid w:val="00000730"/>
    <w:rsid w:val="0000084F"/>
    <w:rsid w:val="00000863"/>
    <w:rsid w:val="00000999"/>
    <w:rsid w:val="000009A8"/>
    <w:rsid w:val="00000BAB"/>
    <w:rsid w:val="00000C35"/>
    <w:rsid w:val="00000DE0"/>
    <w:rsid w:val="00000E9E"/>
    <w:rsid w:val="00000EDC"/>
    <w:rsid w:val="000011BB"/>
    <w:rsid w:val="0000121E"/>
    <w:rsid w:val="0000121F"/>
    <w:rsid w:val="000012C7"/>
    <w:rsid w:val="0000139E"/>
    <w:rsid w:val="000013FF"/>
    <w:rsid w:val="00001513"/>
    <w:rsid w:val="000015F2"/>
    <w:rsid w:val="00001688"/>
    <w:rsid w:val="000016AF"/>
    <w:rsid w:val="000017E8"/>
    <w:rsid w:val="00001832"/>
    <w:rsid w:val="00001959"/>
    <w:rsid w:val="00001A7D"/>
    <w:rsid w:val="00001B71"/>
    <w:rsid w:val="00001B9F"/>
    <w:rsid w:val="00001BD8"/>
    <w:rsid w:val="00001C30"/>
    <w:rsid w:val="00001C4E"/>
    <w:rsid w:val="00001DE2"/>
    <w:rsid w:val="00001F29"/>
    <w:rsid w:val="0000212A"/>
    <w:rsid w:val="000021D1"/>
    <w:rsid w:val="000023AA"/>
    <w:rsid w:val="00002547"/>
    <w:rsid w:val="000027B3"/>
    <w:rsid w:val="00002891"/>
    <w:rsid w:val="000029EF"/>
    <w:rsid w:val="00002A14"/>
    <w:rsid w:val="00002B33"/>
    <w:rsid w:val="00002D4F"/>
    <w:rsid w:val="00002F06"/>
    <w:rsid w:val="00002F5F"/>
    <w:rsid w:val="00002F6F"/>
    <w:rsid w:val="00002FFD"/>
    <w:rsid w:val="00003049"/>
    <w:rsid w:val="0000326F"/>
    <w:rsid w:val="00003386"/>
    <w:rsid w:val="000033A9"/>
    <w:rsid w:val="00003721"/>
    <w:rsid w:val="00003858"/>
    <w:rsid w:val="00003A7B"/>
    <w:rsid w:val="00003AD4"/>
    <w:rsid w:val="00003BBF"/>
    <w:rsid w:val="00003C95"/>
    <w:rsid w:val="00003E41"/>
    <w:rsid w:val="00003F32"/>
    <w:rsid w:val="00004121"/>
    <w:rsid w:val="00004154"/>
    <w:rsid w:val="0000436D"/>
    <w:rsid w:val="00004389"/>
    <w:rsid w:val="000045D7"/>
    <w:rsid w:val="000049E8"/>
    <w:rsid w:val="00004BE8"/>
    <w:rsid w:val="00004C6A"/>
    <w:rsid w:val="00004C88"/>
    <w:rsid w:val="00004E65"/>
    <w:rsid w:val="00004FC7"/>
    <w:rsid w:val="00004FFB"/>
    <w:rsid w:val="000050D3"/>
    <w:rsid w:val="00005122"/>
    <w:rsid w:val="000052F7"/>
    <w:rsid w:val="00005516"/>
    <w:rsid w:val="000057FE"/>
    <w:rsid w:val="00005827"/>
    <w:rsid w:val="00005897"/>
    <w:rsid w:val="000058FC"/>
    <w:rsid w:val="0000596E"/>
    <w:rsid w:val="00005B48"/>
    <w:rsid w:val="00005CAA"/>
    <w:rsid w:val="00005D7A"/>
    <w:rsid w:val="00005EF8"/>
    <w:rsid w:val="00005F7B"/>
    <w:rsid w:val="0000609A"/>
    <w:rsid w:val="00006258"/>
    <w:rsid w:val="000063AC"/>
    <w:rsid w:val="000063D5"/>
    <w:rsid w:val="00006434"/>
    <w:rsid w:val="000064DE"/>
    <w:rsid w:val="000066AD"/>
    <w:rsid w:val="000066CB"/>
    <w:rsid w:val="000067EA"/>
    <w:rsid w:val="00006AE5"/>
    <w:rsid w:val="00006B0D"/>
    <w:rsid w:val="00006C11"/>
    <w:rsid w:val="00006C59"/>
    <w:rsid w:val="00006CF0"/>
    <w:rsid w:val="00006DD2"/>
    <w:rsid w:val="00006ED6"/>
    <w:rsid w:val="00006F53"/>
    <w:rsid w:val="00006F6F"/>
    <w:rsid w:val="00007119"/>
    <w:rsid w:val="000071C5"/>
    <w:rsid w:val="000071D3"/>
    <w:rsid w:val="000071F6"/>
    <w:rsid w:val="000073C3"/>
    <w:rsid w:val="00007536"/>
    <w:rsid w:val="000077E8"/>
    <w:rsid w:val="000079B3"/>
    <w:rsid w:val="00007B43"/>
    <w:rsid w:val="00007B5E"/>
    <w:rsid w:val="00007DB0"/>
    <w:rsid w:val="00007E85"/>
    <w:rsid w:val="00007F48"/>
    <w:rsid w:val="00007FCE"/>
    <w:rsid w:val="00010170"/>
    <w:rsid w:val="0001018B"/>
    <w:rsid w:val="000101E4"/>
    <w:rsid w:val="000103DD"/>
    <w:rsid w:val="00010641"/>
    <w:rsid w:val="0001077B"/>
    <w:rsid w:val="000108CD"/>
    <w:rsid w:val="000108DD"/>
    <w:rsid w:val="00010C42"/>
    <w:rsid w:val="00010CFF"/>
    <w:rsid w:val="00010D17"/>
    <w:rsid w:val="00010D9E"/>
    <w:rsid w:val="00010DBF"/>
    <w:rsid w:val="00010E42"/>
    <w:rsid w:val="00010F1C"/>
    <w:rsid w:val="00010F85"/>
    <w:rsid w:val="00010FDB"/>
    <w:rsid w:val="0001103C"/>
    <w:rsid w:val="000110BC"/>
    <w:rsid w:val="0001122D"/>
    <w:rsid w:val="00011248"/>
    <w:rsid w:val="00011287"/>
    <w:rsid w:val="000115C9"/>
    <w:rsid w:val="000115F0"/>
    <w:rsid w:val="000115FE"/>
    <w:rsid w:val="00011622"/>
    <w:rsid w:val="000117B6"/>
    <w:rsid w:val="000117DD"/>
    <w:rsid w:val="00011834"/>
    <w:rsid w:val="00011876"/>
    <w:rsid w:val="00011975"/>
    <w:rsid w:val="000119CF"/>
    <w:rsid w:val="00011A7E"/>
    <w:rsid w:val="00011C7D"/>
    <w:rsid w:val="00011C90"/>
    <w:rsid w:val="00011E4D"/>
    <w:rsid w:val="0001201D"/>
    <w:rsid w:val="000120BD"/>
    <w:rsid w:val="000120D0"/>
    <w:rsid w:val="00012134"/>
    <w:rsid w:val="0001227B"/>
    <w:rsid w:val="000122B3"/>
    <w:rsid w:val="00012471"/>
    <w:rsid w:val="00012518"/>
    <w:rsid w:val="000125C2"/>
    <w:rsid w:val="00012A24"/>
    <w:rsid w:val="00012A9F"/>
    <w:rsid w:val="00012B52"/>
    <w:rsid w:val="00012C9A"/>
    <w:rsid w:val="00012CFA"/>
    <w:rsid w:val="00012E2E"/>
    <w:rsid w:val="00012E63"/>
    <w:rsid w:val="00012FB6"/>
    <w:rsid w:val="0001302E"/>
    <w:rsid w:val="000130B1"/>
    <w:rsid w:val="0001311C"/>
    <w:rsid w:val="00013546"/>
    <w:rsid w:val="00013608"/>
    <w:rsid w:val="000136F9"/>
    <w:rsid w:val="00013863"/>
    <w:rsid w:val="00013883"/>
    <w:rsid w:val="000138A3"/>
    <w:rsid w:val="00013B38"/>
    <w:rsid w:val="00013C49"/>
    <w:rsid w:val="00013DBF"/>
    <w:rsid w:val="00013E71"/>
    <w:rsid w:val="00013EAB"/>
    <w:rsid w:val="00013EFA"/>
    <w:rsid w:val="00013F3C"/>
    <w:rsid w:val="00014020"/>
    <w:rsid w:val="000140E7"/>
    <w:rsid w:val="000141F2"/>
    <w:rsid w:val="0001420B"/>
    <w:rsid w:val="00014222"/>
    <w:rsid w:val="00014363"/>
    <w:rsid w:val="0001440D"/>
    <w:rsid w:val="0001452E"/>
    <w:rsid w:val="000145B7"/>
    <w:rsid w:val="0001460B"/>
    <w:rsid w:val="000146CE"/>
    <w:rsid w:val="000147EE"/>
    <w:rsid w:val="000148F2"/>
    <w:rsid w:val="0001494A"/>
    <w:rsid w:val="00014955"/>
    <w:rsid w:val="000149F7"/>
    <w:rsid w:val="00014EA9"/>
    <w:rsid w:val="00014EEC"/>
    <w:rsid w:val="00014F0F"/>
    <w:rsid w:val="00014FCE"/>
    <w:rsid w:val="00015010"/>
    <w:rsid w:val="00015044"/>
    <w:rsid w:val="000150D6"/>
    <w:rsid w:val="00015242"/>
    <w:rsid w:val="0001527D"/>
    <w:rsid w:val="000152DD"/>
    <w:rsid w:val="00015343"/>
    <w:rsid w:val="00015385"/>
    <w:rsid w:val="000153E0"/>
    <w:rsid w:val="000154A1"/>
    <w:rsid w:val="00015503"/>
    <w:rsid w:val="00015517"/>
    <w:rsid w:val="00015555"/>
    <w:rsid w:val="00015607"/>
    <w:rsid w:val="000156D3"/>
    <w:rsid w:val="000156F2"/>
    <w:rsid w:val="000157D2"/>
    <w:rsid w:val="00015964"/>
    <w:rsid w:val="00015A3F"/>
    <w:rsid w:val="00015AEB"/>
    <w:rsid w:val="00015BB0"/>
    <w:rsid w:val="00015BCF"/>
    <w:rsid w:val="00015D7F"/>
    <w:rsid w:val="00015EF9"/>
    <w:rsid w:val="0001600F"/>
    <w:rsid w:val="00016182"/>
    <w:rsid w:val="0001622C"/>
    <w:rsid w:val="000164AD"/>
    <w:rsid w:val="000165FA"/>
    <w:rsid w:val="00016622"/>
    <w:rsid w:val="00016625"/>
    <w:rsid w:val="0001666E"/>
    <w:rsid w:val="000169F0"/>
    <w:rsid w:val="00016B06"/>
    <w:rsid w:val="00016BDD"/>
    <w:rsid w:val="00016C21"/>
    <w:rsid w:val="00016C9C"/>
    <w:rsid w:val="00016F3C"/>
    <w:rsid w:val="00016F44"/>
    <w:rsid w:val="00016FAD"/>
    <w:rsid w:val="00017181"/>
    <w:rsid w:val="000172A4"/>
    <w:rsid w:val="000173C3"/>
    <w:rsid w:val="0001754E"/>
    <w:rsid w:val="00017588"/>
    <w:rsid w:val="000178C2"/>
    <w:rsid w:val="00017B7C"/>
    <w:rsid w:val="00017F3A"/>
    <w:rsid w:val="00020074"/>
    <w:rsid w:val="00020120"/>
    <w:rsid w:val="000201C1"/>
    <w:rsid w:val="0002028A"/>
    <w:rsid w:val="00020295"/>
    <w:rsid w:val="000203AE"/>
    <w:rsid w:val="0002054A"/>
    <w:rsid w:val="000205CE"/>
    <w:rsid w:val="00020751"/>
    <w:rsid w:val="00020778"/>
    <w:rsid w:val="0002085A"/>
    <w:rsid w:val="0002087B"/>
    <w:rsid w:val="00020A63"/>
    <w:rsid w:val="00020C1F"/>
    <w:rsid w:val="00020C7F"/>
    <w:rsid w:val="00020C97"/>
    <w:rsid w:val="00020CD6"/>
    <w:rsid w:val="00020E42"/>
    <w:rsid w:val="0002104F"/>
    <w:rsid w:val="00021152"/>
    <w:rsid w:val="000211E2"/>
    <w:rsid w:val="00021208"/>
    <w:rsid w:val="00021286"/>
    <w:rsid w:val="00021314"/>
    <w:rsid w:val="000214F6"/>
    <w:rsid w:val="0002159F"/>
    <w:rsid w:val="000216AF"/>
    <w:rsid w:val="000216C0"/>
    <w:rsid w:val="00021752"/>
    <w:rsid w:val="0002187F"/>
    <w:rsid w:val="0002190D"/>
    <w:rsid w:val="00021977"/>
    <w:rsid w:val="00021C76"/>
    <w:rsid w:val="00021C95"/>
    <w:rsid w:val="00021E6D"/>
    <w:rsid w:val="00021FF1"/>
    <w:rsid w:val="00022099"/>
    <w:rsid w:val="00022102"/>
    <w:rsid w:val="00022175"/>
    <w:rsid w:val="000221AC"/>
    <w:rsid w:val="0002246D"/>
    <w:rsid w:val="000228B3"/>
    <w:rsid w:val="000228C5"/>
    <w:rsid w:val="000228F0"/>
    <w:rsid w:val="00022955"/>
    <w:rsid w:val="00022B84"/>
    <w:rsid w:val="00022C0F"/>
    <w:rsid w:val="00022F97"/>
    <w:rsid w:val="00023059"/>
    <w:rsid w:val="00023082"/>
    <w:rsid w:val="000230BD"/>
    <w:rsid w:val="000232D4"/>
    <w:rsid w:val="000234AA"/>
    <w:rsid w:val="000234AE"/>
    <w:rsid w:val="00023503"/>
    <w:rsid w:val="00023569"/>
    <w:rsid w:val="00023705"/>
    <w:rsid w:val="000237FA"/>
    <w:rsid w:val="000239B6"/>
    <w:rsid w:val="000239FB"/>
    <w:rsid w:val="00023B99"/>
    <w:rsid w:val="00023C43"/>
    <w:rsid w:val="000241D4"/>
    <w:rsid w:val="00024234"/>
    <w:rsid w:val="00024277"/>
    <w:rsid w:val="000242D8"/>
    <w:rsid w:val="0002441A"/>
    <w:rsid w:val="000245A4"/>
    <w:rsid w:val="0002467E"/>
    <w:rsid w:val="000246EC"/>
    <w:rsid w:val="0002482B"/>
    <w:rsid w:val="00024A1F"/>
    <w:rsid w:val="00024A78"/>
    <w:rsid w:val="00024B09"/>
    <w:rsid w:val="00024DE5"/>
    <w:rsid w:val="00024F30"/>
    <w:rsid w:val="00024FBA"/>
    <w:rsid w:val="00025049"/>
    <w:rsid w:val="000250F7"/>
    <w:rsid w:val="0002528C"/>
    <w:rsid w:val="000252B6"/>
    <w:rsid w:val="00025351"/>
    <w:rsid w:val="0002540D"/>
    <w:rsid w:val="0002553F"/>
    <w:rsid w:val="000255CF"/>
    <w:rsid w:val="00025705"/>
    <w:rsid w:val="0002576D"/>
    <w:rsid w:val="000257BE"/>
    <w:rsid w:val="000258DE"/>
    <w:rsid w:val="0002596C"/>
    <w:rsid w:val="00025ADD"/>
    <w:rsid w:val="00025B1B"/>
    <w:rsid w:val="00025BA4"/>
    <w:rsid w:val="00025BD7"/>
    <w:rsid w:val="00025BE6"/>
    <w:rsid w:val="00025C67"/>
    <w:rsid w:val="00025D31"/>
    <w:rsid w:val="00025E8B"/>
    <w:rsid w:val="00025F06"/>
    <w:rsid w:val="00026079"/>
    <w:rsid w:val="0002607C"/>
    <w:rsid w:val="00026092"/>
    <w:rsid w:val="000260DF"/>
    <w:rsid w:val="000261BA"/>
    <w:rsid w:val="00026238"/>
    <w:rsid w:val="0002625D"/>
    <w:rsid w:val="00026372"/>
    <w:rsid w:val="000265AB"/>
    <w:rsid w:val="00026793"/>
    <w:rsid w:val="00026838"/>
    <w:rsid w:val="000268F7"/>
    <w:rsid w:val="00026977"/>
    <w:rsid w:val="00026AAD"/>
    <w:rsid w:val="00026B83"/>
    <w:rsid w:val="00026B9B"/>
    <w:rsid w:val="00026E87"/>
    <w:rsid w:val="00026EFA"/>
    <w:rsid w:val="00027036"/>
    <w:rsid w:val="00027225"/>
    <w:rsid w:val="00027292"/>
    <w:rsid w:val="00027366"/>
    <w:rsid w:val="000274B9"/>
    <w:rsid w:val="00027539"/>
    <w:rsid w:val="00027637"/>
    <w:rsid w:val="000277EE"/>
    <w:rsid w:val="00027837"/>
    <w:rsid w:val="00027C01"/>
    <w:rsid w:val="00027D03"/>
    <w:rsid w:val="00027F79"/>
    <w:rsid w:val="00027FCE"/>
    <w:rsid w:val="00030096"/>
    <w:rsid w:val="000303F2"/>
    <w:rsid w:val="0003044B"/>
    <w:rsid w:val="000305F4"/>
    <w:rsid w:val="000305FA"/>
    <w:rsid w:val="0003061B"/>
    <w:rsid w:val="00030701"/>
    <w:rsid w:val="00030729"/>
    <w:rsid w:val="000309CC"/>
    <w:rsid w:val="000309CE"/>
    <w:rsid w:val="00030DBE"/>
    <w:rsid w:val="00030FD9"/>
    <w:rsid w:val="00031087"/>
    <w:rsid w:val="0003109B"/>
    <w:rsid w:val="0003116F"/>
    <w:rsid w:val="000311F7"/>
    <w:rsid w:val="000312CE"/>
    <w:rsid w:val="00031342"/>
    <w:rsid w:val="00031490"/>
    <w:rsid w:val="00031516"/>
    <w:rsid w:val="000315F5"/>
    <w:rsid w:val="000316E2"/>
    <w:rsid w:val="00031812"/>
    <w:rsid w:val="00031897"/>
    <w:rsid w:val="0003191B"/>
    <w:rsid w:val="00031B1F"/>
    <w:rsid w:val="00031B88"/>
    <w:rsid w:val="00031CCE"/>
    <w:rsid w:val="00031D44"/>
    <w:rsid w:val="00031E4F"/>
    <w:rsid w:val="00031E61"/>
    <w:rsid w:val="00031F2B"/>
    <w:rsid w:val="00031F65"/>
    <w:rsid w:val="00031F77"/>
    <w:rsid w:val="00032076"/>
    <w:rsid w:val="00032407"/>
    <w:rsid w:val="00032561"/>
    <w:rsid w:val="00032568"/>
    <w:rsid w:val="00032641"/>
    <w:rsid w:val="00032776"/>
    <w:rsid w:val="0003288E"/>
    <w:rsid w:val="000329A3"/>
    <w:rsid w:val="00032AD3"/>
    <w:rsid w:val="00032AEC"/>
    <w:rsid w:val="00032AF0"/>
    <w:rsid w:val="00032B11"/>
    <w:rsid w:val="00032B22"/>
    <w:rsid w:val="00032B6C"/>
    <w:rsid w:val="00032BFC"/>
    <w:rsid w:val="00032CF9"/>
    <w:rsid w:val="00032DA1"/>
    <w:rsid w:val="00032DD3"/>
    <w:rsid w:val="00032DF2"/>
    <w:rsid w:val="00032DF7"/>
    <w:rsid w:val="00032E5C"/>
    <w:rsid w:val="00032F27"/>
    <w:rsid w:val="00033080"/>
    <w:rsid w:val="000331A0"/>
    <w:rsid w:val="000331AA"/>
    <w:rsid w:val="000331D1"/>
    <w:rsid w:val="00033247"/>
    <w:rsid w:val="0003341C"/>
    <w:rsid w:val="00033425"/>
    <w:rsid w:val="0003343A"/>
    <w:rsid w:val="00033443"/>
    <w:rsid w:val="000335C8"/>
    <w:rsid w:val="0003368B"/>
    <w:rsid w:val="0003397F"/>
    <w:rsid w:val="000339D5"/>
    <w:rsid w:val="00033A02"/>
    <w:rsid w:val="00033A05"/>
    <w:rsid w:val="00033AD2"/>
    <w:rsid w:val="00033B12"/>
    <w:rsid w:val="00033B87"/>
    <w:rsid w:val="00033C49"/>
    <w:rsid w:val="00033F0C"/>
    <w:rsid w:val="00033F3F"/>
    <w:rsid w:val="00033FF7"/>
    <w:rsid w:val="000340C5"/>
    <w:rsid w:val="000340EE"/>
    <w:rsid w:val="00034516"/>
    <w:rsid w:val="00034632"/>
    <w:rsid w:val="00034645"/>
    <w:rsid w:val="00034862"/>
    <w:rsid w:val="000349A0"/>
    <w:rsid w:val="000349D3"/>
    <w:rsid w:val="00034A79"/>
    <w:rsid w:val="00034AF7"/>
    <w:rsid w:val="00034CF6"/>
    <w:rsid w:val="00034DFA"/>
    <w:rsid w:val="00034EA4"/>
    <w:rsid w:val="00034ECA"/>
    <w:rsid w:val="00034EE1"/>
    <w:rsid w:val="00035071"/>
    <w:rsid w:val="0003528E"/>
    <w:rsid w:val="000352EC"/>
    <w:rsid w:val="0003534A"/>
    <w:rsid w:val="00035461"/>
    <w:rsid w:val="000356B1"/>
    <w:rsid w:val="000358A0"/>
    <w:rsid w:val="000358E0"/>
    <w:rsid w:val="00035D35"/>
    <w:rsid w:val="00035FC0"/>
    <w:rsid w:val="00036066"/>
    <w:rsid w:val="000360F4"/>
    <w:rsid w:val="00036195"/>
    <w:rsid w:val="0003622A"/>
    <w:rsid w:val="0003626D"/>
    <w:rsid w:val="00036363"/>
    <w:rsid w:val="0003642D"/>
    <w:rsid w:val="00036530"/>
    <w:rsid w:val="000366E3"/>
    <w:rsid w:val="000366F4"/>
    <w:rsid w:val="000369D4"/>
    <w:rsid w:val="00036AA4"/>
    <w:rsid w:val="00036DA9"/>
    <w:rsid w:val="00036E4A"/>
    <w:rsid w:val="00036E56"/>
    <w:rsid w:val="00036EF6"/>
    <w:rsid w:val="00037046"/>
    <w:rsid w:val="0003735C"/>
    <w:rsid w:val="000373E3"/>
    <w:rsid w:val="000374CF"/>
    <w:rsid w:val="00037513"/>
    <w:rsid w:val="00037554"/>
    <w:rsid w:val="00037592"/>
    <w:rsid w:val="00037B01"/>
    <w:rsid w:val="00037DC2"/>
    <w:rsid w:val="00037E30"/>
    <w:rsid w:val="00037E3D"/>
    <w:rsid w:val="00037F90"/>
    <w:rsid w:val="00037FF8"/>
    <w:rsid w:val="000400AE"/>
    <w:rsid w:val="0004010C"/>
    <w:rsid w:val="0004012D"/>
    <w:rsid w:val="00040156"/>
    <w:rsid w:val="000401C5"/>
    <w:rsid w:val="00040576"/>
    <w:rsid w:val="000405EF"/>
    <w:rsid w:val="00040614"/>
    <w:rsid w:val="00040758"/>
    <w:rsid w:val="000407ED"/>
    <w:rsid w:val="00040832"/>
    <w:rsid w:val="00040933"/>
    <w:rsid w:val="00040942"/>
    <w:rsid w:val="0004096A"/>
    <w:rsid w:val="00040ABD"/>
    <w:rsid w:val="00040AFD"/>
    <w:rsid w:val="00040B3E"/>
    <w:rsid w:val="00040BBB"/>
    <w:rsid w:val="00040C90"/>
    <w:rsid w:val="00040D10"/>
    <w:rsid w:val="000410C7"/>
    <w:rsid w:val="0004131C"/>
    <w:rsid w:val="000413B4"/>
    <w:rsid w:val="000413CC"/>
    <w:rsid w:val="000413CF"/>
    <w:rsid w:val="000414B7"/>
    <w:rsid w:val="000414D8"/>
    <w:rsid w:val="0004175A"/>
    <w:rsid w:val="000417BD"/>
    <w:rsid w:val="00041C1A"/>
    <w:rsid w:val="00041CB7"/>
    <w:rsid w:val="00041CCD"/>
    <w:rsid w:val="00041CE0"/>
    <w:rsid w:val="00041DDA"/>
    <w:rsid w:val="00041E09"/>
    <w:rsid w:val="00041E1D"/>
    <w:rsid w:val="00041EAA"/>
    <w:rsid w:val="00041F1F"/>
    <w:rsid w:val="00041F20"/>
    <w:rsid w:val="00041F2D"/>
    <w:rsid w:val="00041F40"/>
    <w:rsid w:val="00041F83"/>
    <w:rsid w:val="00041FA2"/>
    <w:rsid w:val="00042004"/>
    <w:rsid w:val="00042014"/>
    <w:rsid w:val="000424E2"/>
    <w:rsid w:val="00042655"/>
    <w:rsid w:val="000426BD"/>
    <w:rsid w:val="00042A0B"/>
    <w:rsid w:val="00042A4D"/>
    <w:rsid w:val="00042AFB"/>
    <w:rsid w:val="00042CD0"/>
    <w:rsid w:val="00042D46"/>
    <w:rsid w:val="00042DAD"/>
    <w:rsid w:val="00042E70"/>
    <w:rsid w:val="00042F9C"/>
    <w:rsid w:val="00042FD6"/>
    <w:rsid w:val="00043023"/>
    <w:rsid w:val="00043086"/>
    <w:rsid w:val="000430A3"/>
    <w:rsid w:val="00043193"/>
    <w:rsid w:val="00043230"/>
    <w:rsid w:val="000437F6"/>
    <w:rsid w:val="00043B09"/>
    <w:rsid w:val="00043B23"/>
    <w:rsid w:val="00043B37"/>
    <w:rsid w:val="00043D24"/>
    <w:rsid w:val="00043DEB"/>
    <w:rsid w:val="00043E7D"/>
    <w:rsid w:val="00043F1F"/>
    <w:rsid w:val="00044000"/>
    <w:rsid w:val="0004403D"/>
    <w:rsid w:val="00044170"/>
    <w:rsid w:val="00044246"/>
    <w:rsid w:val="00044340"/>
    <w:rsid w:val="000443CF"/>
    <w:rsid w:val="00044457"/>
    <w:rsid w:val="00044462"/>
    <w:rsid w:val="000444C0"/>
    <w:rsid w:val="00044502"/>
    <w:rsid w:val="00044509"/>
    <w:rsid w:val="00044787"/>
    <w:rsid w:val="000447B3"/>
    <w:rsid w:val="00044FEF"/>
    <w:rsid w:val="000450A6"/>
    <w:rsid w:val="00045145"/>
    <w:rsid w:val="00045231"/>
    <w:rsid w:val="000452A8"/>
    <w:rsid w:val="000453A4"/>
    <w:rsid w:val="000453D1"/>
    <w:rsid w:val="00045538"/>
    <w:rsid w:val="0004554F"/>
    <w:rsid w:val="000455CE"/>
    <w:rsid w:val="0004564F"/>
    <w:rsid w:val="00045774"/>
    <w:rsid w:val="00045889"/>
    <w:rsid w:val="00045BC4"/>
    <w:rsid w:val="00045BCE"/>
    <w:rsid w:val="00045C6F"/>
    <w:rsid w:val="00045CA3"/>
    <w:rsid w:val="00045D5F"/>
    <w:rsid w:val="00045EEE"/>
    <w:rsid w:val="00045F39"/>
    <w:rsid w:val="0004610F"/>
    <w:rsid w:val="00046236"/>
    <w:rsid w:val="0004626A"/>
    <w:rsid w:val="000462D0"/>
    <w:rsid w:val="0004630F"/>
    <w:rsid w:val="0004641B"/>
    <w:rsid w:val="00046552"/>
    <w:rsid w:val="00046647"/>
    <w:rsid w:val="0004670E"/>
    <w:rsid w:val="00046738"/>
    <w:rsid w:val="00046811"/>
    <w:rsid w:val="00046896"/>
    <w:rsid w:val="0004690C"/>
    <w:rsid w:val="00046A3A"/>
    <w:rsid w:val="00046A4C"/>
    <w:rsid w:val="00046D53"/>
    <w:rsid w:val="00046DE1"/>
    <w:rsid w:val="00046E16"/>
    <w:rsid w:val="00046FAB"/>
    <w:rsid w:val="00046FD5"/>
    <w:rsid w:val="000471BC"/>
    <w:rsid w:val="0004721C"/>
    <w:rsid w:val="0004734A"/>
    <w:rsid w:val="000473F6"/>
    <w:rsid w:val="00047561"/>
    <w:rsid w:val="000475F8"/>
    <w:rsid w:val="00047634"/>
    <w:rsid w:val="00047693"/>
    <w:rsid w:val="00047722"/>
    <w:rsid w:val="0004779F"/>
    <w:rsid w:val="000477B6"/>
    <w:rsid w:val="000477EA"/>
    <w:rsid w:val="000478D8"/>
    <w:rsid w:val="00047A10"/>
    <w:rsid w:val="00047A67"/>
    <w:rsid w:val="00047AFC"/>
    <w:rsid w:val="00047B4E"/>
    <w:rsid w:val="00047B5F"/>
    <w:rsid w:val="00047CB0"/>
    <w:rsid w:val="0005010A"/>
    <w:rsid w:val="00050125"/>
    <w:rsid w:val="00050148"/>
    <w:rsid w:val="000502CE"/>
    <w:rsid w:val="000502E0"/>
    <w:rsid w:val="0005038B"/>
    <w:rsid w:val="000504B6"/>
    <w:rsid w:val="00050574"/>
    <w:rsid w:val="0005071B"/>
    <w:rsid w:val="00050752"/>
    <w:rsid w:val="0005075F"/>
    <w:rsid w:val="000507B5"/>
    <w:rsid w:val="000507DC"/>
    <w:rsid w:val="00050830"/>
    <w:rsid w:val="0005091E"/>
    <w:rsid w:val="000509EB"/>
    <w:rsid w:val="00050A4F"/>
    <w:rsid w:val="00050AB8"/>
    <w:rsid w:val="00050D28"/>
    <w:rsid w:val="00050E2A"/>
    <w:rsid w:val="00050E62"/>
    <w:rsid w:val="00050E93"/>
    <w:rsid w:val="00051209"/>
    <w:rsid w:val="00051229"/>
    <w:rsid w:val="00051405"/>
    <w:rsid w:val="0005186B"/>
    <w:rsid w:val="00051949"/>
    <w:rsid w:val="000519F5"/>
    <w:rsid w:val="00051C0E"/>
    <w:rsid w:val="00051CAB"/>
    <w:rsid w:val="00051D9C"/>
    <w:rsid w:val="00051FC6"/>
    <w:rsid w:val="00052111"/>
    <w:rsid w:val="00052294"/>
    <w:rsid w:val="00052717"/>
    <w:rsid w:val="00052810"/>
    <w:rsid w:val="000528DC"/>
    <w:rsid w:val="00052934"/>
    <w:rsid w:val="00052958"/>
    <w:rsid w:val="00052993"/>
    <w:rsid w:val="00052BB8"/>
    <w:rsid w:val="00052BDF"/>
    <w:rsid w:val="00052C5D"/>
    <w:rsid w:val="00052D13"/>
    <w:rsid w:val="00052EBF"/>
    <w:rsid w:val="00052F0E"/>
    <w:rsid w:val="00052F19"/>
    <w:rsid w:val="00052F38"/>
    <w:rsid w:val="00052F4D"/>
    <w:rsid w:val="0005302B"/>
    <w:rsid w:val="00053169"/>
    <w:rsid w:val="00053337"/>
    <w:rsid w:val="0005333E"/>
    <w:rsid w:val="000534B5"/>
    <w:rsid w:val="0005358D"/>
    <w:rsid w:val="000535F1"/>
    <w:rsid w:val="000535FE"/>
    <w:rsid w:val="00053880"/>
    <w:rsid w:val="000539A8"/>
    <w:rsid w:val="00053A66"/>
    <w:rsid w:val="00053A90"/>
    <w:rsid w:val="00053ABA"/>
    <w:rsid w:val="00053BDC"/>
    <w:rsid w:val="00053C14"/>
    <w:rsid w:val="00053D31"/>
    <w:rsid w:val="00053FB1"/>
    <w:rsid w:val="000542C1"/>
    <w:rsid w:val="000543C4"/>
    <w:rsid w:val="0005445E"/>
    <w:rsid w:val="000545C7"/>
    <w:rsid w:val="000545F3"/>
    <w:rsid w:val="00054788"/>
    <w:rsid w:val="000547C8"/>
    <w:rsid w:val="000547E4"/>
    <w:rsid w:val="0005493E"/>
    <w:rsid w:val="0005498E"/>
    <w:rsid w:val="000549A9"/>
    <w:rsid w:val="00054A3A"/>
    <w:rsid w:val="00054C2B"/>
    <w:rsid w:val="00054C35"/>
    <w:rsid w:val="00054EE5"/>
    <w:rsid w:val="000550E7"/>
    <w:rsid w:val="000551AF"/>
    <w:rsid w:val="00055269"/>
    <w:rsid w:val="000552A3"/>
    <w:rsid w:val="000552C5"/>
    <w:rsid w:val="00055324"/>
    <w:rsid w:val="000553D2"/>
    <w:rsid w:val="00055518"/>
    <w:rsid w:val="0005580C"/>
    <w:rsid w:val="0005581B"/>
    <w:rsid w:val="000558FB"/>
    <w:rsid w:val="000559D5"/>
    <w:rsid w:val="00055A16"/>
    <w:rsid w:val="00055B11"/>
    <w:rsid w:val="00055BEF"/>
    <w:rsid w:val="00055CE5"/>
    <w:rsid w:val="00055DC2"/>
    <w:rsid w:val="00055E97"/>
    <w:rsid w:val="00055FB5"/>
    <w:rsid w:val="00056116"/>
    <w:rsid w:val="00056158"/>
    <w:rsid w:val="00056180"/>
    <w:rsid w:val="0005627D"/>
    <w:rsid w:val="00056370"/>
    <w:rsid w:val="000564F8"/>
    <w:rsid w:val="00056511"/>
    <w:rsid w:val="00056585"/>
    <w:rsid w:val="000565D3"/>
    <w:rsid w:val="00056671"/>
    <w:rsid w:val="000567D8"/>
    <w:rsid w:val="000567FA"/>
    <w:rsid w:val="0005682C"/>
    <w:rsid w:val="000568DF"/>
    <w:rsid w:val="00056950"/>
    <w:rsid w:val="000569FE"/>
    <w:rsid w:val="00056EAC"/>
    <w:rsid w:val="000571E7"/>
    <w:rsid w:val="000572ED"/>
    <w:rsid w:val="000573B7"/>
    <w:rsid w:val="00057431"/>
    <w:rsid w:val="000577A0"/>
    <w:rsid w:val="00057A3A"/>
    <w:rsid w:val="00057A58"/>
    <w:rsid w:val="00057BF7"/>
    <w:rsid w:val="00057C43"/>
    <w:rsid w:val="00057C84"/>
    <w:rsid w:val="00057EE5"/>
    <w:rsid w:val="00057F1C"/>
    <w:rsid w:val="00057F75"/>
    <w:rsid w:val="00060086"/>
    <w:rsid w:val="000600D4"/>
    <w:rsid w:val="0006039C"/>
    <w:rsid w:val="000603B5"/>
    <w:rsid w:val="00060464"/>
    <w:rsid w:val="0006046F"/>
    <w:rsid w:val="0006062A"/>
    <w:rsid w:val="0006071E"/>
    <w:rsid w:val="00060A91"/>
    <w:rsid w:val="00060B6F"/>
    <w:rsid w:val="00060BC5"/>
    <w:rsid w:val="00060E60"/>
    <w:rsid w:val="00060EF8"/>
    <w:rsid w:val="00061025"/>
    <w:rsid w:val="00061100"/>
    <w:rsid w:val="00061164"/>
    <w:rsid w:val="000612E1"/>
    <w:rsid w:val="00061326"/>
    <w:rsid w:val="00061336"/>
    <w:rsid w:val="00061351"/>
    <w:rsid w:val="00061662"/>
    <w:rsid w:val="00061721"/>
    <w:rsid w:val="00061914"/>
    <w:rsid w:val="000619E6"/>
    <w:rsid w:val="00061A9C"/>
    <w:rsid w:val="00061BCB"/>
    <w:rsid w:val="00061F0C"/>
    <w:rsid w:val="0006209D"/>
    <w:rsid w:val="000620C9"/>
    <w:rsid w:val="00062136"/>
    <w:rsid w:val="000622E8"/>
    <w:rsid w:val="000625F3"/>
    <w:rsid w:val="0006271F"/>
    <w:rsid w:val="000627C5"/>
    <w:rsid w:val="00062853"/>
    <w:rsid w:val="00062C60"/>
    <w:rsid w:val="00062E46"/>
    <w:rsid w:val="00062EA5"/>
    <w:rsid w:val="00063064"/>
    <w:rsid w:val="000630A7"/>
    <w:rsid w:val="000630BC"/>
    <w:rsid w:val="00063103"/>
    <w:rsid w:val="0006320B"/>
    <w:rsid w:val="000632DA"/>
    <w:rsid w:val="00063329"/>
    <w:rsid w:val="00063359"/>
    <w:rsid w:val="0006337B"/>
    <w:rsid w:val="00063397"/>
    <w:rsid w:val="000633D1"/>
    <w:rsid w:val="000633E4"/>
    <w:rsid w:val="000634FE"/>
    <w:rsid w:val="00063523"/>
    <w:rsid w:val="00063554"/>
    <w:rsid w:val="00063616"/>
    <w:rsid w:val="000637F3"/>
    <w:rsid w:val="0006384B"/>
    <w:rsid w:val="00063B38"/>
    <w:rsid w:val="00063DDA"/>
    <w:rsid w:val="00063E87"/>
    <w:rsid w:val="00063F07"/>
    <w:rsid w:val="00063F5F"/>
    <w:rsid w:val="000640BC"/>
    <w:rsid w:val="0006415B"/>
    <w:rsid w:val="00064293"/>
    <w:rsid w:val="000643EE"/>
    <w:rsid w:val="00064498"/>
    <w:rsid w:val="00064548"/>
    <w:rsid w:val="000645B9"/>
    <w:rsid w:val="00064821"/>
    <w:rsid w:val="00064989"/>
    <w:rsid w:val="00064B71"/>
    <w:rsid w:val="00064BA0"/>
    <w:rsid w:val="00064D8A"/>
    <w:rsid w:val="00064EAD"/>
    <w:rsid w:val="00064FE1"/>
    <w:rsid w:val="00065010"/>
    <w:rsid w:val="000650BC"/>
    <w:rsid w:val="000650FB"/>
    <w:rsid w:val="00065124"/>
    <w:rsid w:val="0006523F"/>
    <w:rsid w:val="00065346"/>
    <w:rsid w:val="000653CF"/>
    <w:rsid w:val="000653D5"/>
    <w:rsid w:val="00065443"/>
    <w:rsid w:val="0006547B"/>
    <w:rsid w:val="000654D9"/>
    <w:rsid w:val="00065524"/>
    <w:rsid w:val="0006560A"/>
    <w:rsid w:val="0006571D"/>
    <w:rsid w:val="000658A6"/>
    <w:rsid w:val="000658BE"/>
    <w:rsid w:val="000658FC"/>
    <w:rsid w:val="00065935"/>
    <w:rsid w:val="000659AB"/>
    <w:rsid w:val="000659DE"/>
    <w:rsid w:val="00065A80"/>
    <w:rsid w:val="00065B6B"/>
    <w:rsid w:val="00065B8D"/>
    <w:rsid w:val="00065BB8"/>
    <w:rsid w:val="00065C38"/>
    <w:rsid w:val="00065CC1"/>
    <w:rsid w:val="00065DD5"/>
    <w:rsid w:val="00065E30"/>
    <w:rsid w:val="00066047"/>
    <w:rsid w:val="00066048"/>
    <w:rsid w:val="000660D3"/>
    <w:rsid w:val="000661B1"/>
    <w:rsid w:val="0006638F"/>
    <w:rsid w:val="00066435"/>
    <w:rsid w:val="0006657C"/>
    <w:rsid w:val="00066725"/>
    <w:rsid w:val="0006673F"/>
    <w:rsid w:val="00066829"/>
    <w:rsid w:val="000668C8"/>
    <w:rsid w:val="00066952"/>
    <w:rsid w:val="000669D7"/>
    <w:rsid w:val="00066A3C"/>
    <w:rsid w:val="00066AEB"/>
    <w:rsid w:val="00066E4D"/>
    <w:rsid w:val="00066E7D"/>
    <w:rsid w:val="00066EDE"/>
    <w:rsid w:val="00066EEB"/>
    <w:rsid w:val="000673FC"/>
    <w:rsid w:val="00067491"/>
    <w:rsid w:val="000674D0"/>
    <w:rsid w:val="00067643"/>
    <w:rsid w:val="0006771B"/>
    <w:rsid w:val="00067746"/>
    <w:rsid w:val="000677E8"/>
    <w:rsid w:val="00067826"/>
    <w:rsid w:val="000678F7"/>
    <w:rsid w:val="00067A22"/>
    <w:rsid w:val="00067B94"/>
    <w:rsid w:val="00067C4F"/>
    <w:rsid w:val="00067D05"/>
    <w:rsid w:val="00067D51"/>
    <w:rsid w:val="00067E4A"/>
    <w:rsid w:val="00067F45"/>
    <w:rsid w:val="00067FA4"/>
    <w:rsid w:val="000700D3"/>
    <w:rsid w:val="000704C4"/>
    <w:rsid w:val="000704EA"/>
    <w:rsid w:val="0007062D"/>
    <w:rsid w:val="0007066F"/>
    <w:rsid w:val="0007078B"/>
    <w:rsid w:val="00070967"/>
    <w:rsid w:val="000709BF"/>
    <w:rsid w:val="000709EC"/>
    <w:rsid w:val="00070A28"/>
    <w:rsid w:val="00070A6D"/>
    <w:rsid w:val="00070D7C"/>
    <w:rsid w:val="00070DEA"/>
    <w:rsid w:val="00070DF3"/>
    <w:rsid w:val="00070FD5"/>
    <w:rsid w:val="00071010"/>
    <w:rsid w:val="0007126F"/>
    <w:rsid w:val="000712B2"/>
    <w:rsid w:val="00071556"/>
    <w:rsid w:val="0007158D"/>
    <w:rsid w:val="000717D3"/>
    <w:rsid w:val="0007198C"/>
    <w:rsid w:val="00071B1B"/>
    <w:rsid w:val="00071B46"/>
    <w:rsid w:val="00071BEC"/>
    <w:rsid w:val="00071DEA"/>
    <w:rsid w:val="00071E08"/>
    <w:rsid w:val="00071F40"/>
    <w:rsid w:val="0007201E"/>
    <w:rsid w:val="000720BF"/>
    <w:rsid w:val="00072113"/>
    <w:rsid w:val="0007223A"/>
    <w:rsid w:val="00072248"/>
    <w:rsid w:val="000722E5"/>
    <w:rsid w:val="00072543"/>
    <w:rsid w:val="000725BE"/>
    <w:rsid w:val="00072686"/>
    <w:rsid w:val="000726C1"/>
    <w:rsid w:val="000726D9"/>
    <w:rsid w:val="000727F6"/>
    <w:rsid w:val="0007293F"/>
    <w:rsid w:val="0007298A"/>
    <w:rsid w:val="0007299A"/>
    <w:rsid w:val="00072AB3"/>
    <w:rsid w:val="00072B21"/>
    <w:rsid w:val="00072BC5"/>
    <w:rsid w:val="00072C98"/>
    <w:rsid w:val="00072DD2"/>
    <w:rsid w:val="00072F93"/>
    <w:rsid w:val="00073062"/>
    <w:rsid w:val="00073153"/>
    <w:rsid w:val="00073156"/>
    <w:rsid w:val="00073162"/>
    <w:rsid w:val="000732DE"/>
    <w:rsid w:val="0007331F"/>
    <w:rsid w:val="00073338"/>
    <w:rsid w:val="0007344B"/>
    <w:rsid w:val="0007347C"/>
    <w:rsid w:val="0007347F"/>
    <w:rsid w:val="000734DB"/>
    <w:rsid w:val="00073596"/>
    <w:rsid w:val="000735C6"/>
    <w:rsid w:val="00073668"/>
    <w:rsid w:val="00073677"/>
    <w:rsid w:val="000736F8"/>
    <w:rsid w:val="000739F9"/>
    <w:rsid w:val="00073A33"/>
    <w:rsid w:val="00073AAF"/>
    <w:rsid w:val="00073E3B"/>
    <w:rsid w:val="00073EBD"/>
    <w:rsid w:val="0007400A"/>
    <w:rsid w:val="00074056"/>
    <w:rsid w:val="0007418F"/>
    <w:rsid w:val="0007423D"/>
    <w:rsid w:val="00074299"/>
    <w:rsid w:val="0007448B"/>
    <w:rsid w:val="000745E5"/>
    <w:rsid w:val="000746CB"/>
    <w:rsid w:val="000747B3"/>
    <w:rsid w:val="0007485B"/>
    <w:rsid w:val="000748A2"/>
    <w:rsid w:val="00074984"/>
    <w:rsid w:val="00074C3E"/>
    <w:rsid w:val="00074E71"/>
    <w:rsid w:val="00074EC3"/>
    <w:rsid w:val="00074F25"/>
    <w:rsid w:val="00075115"/>
    <w:rsid w:val="0007530C"/>
    <w:rsid w:val="00075321"/>
    <w:rsid w:val="00075349"/>
    <w:rsid w:val="0007534B"/>
    <w:rsid w:val="00075358"/>
    <w:rsid w:val="0007562D"/>
    <w:rsid w:val="000756C1"/>
    <w:rsid w:val="0007578C"/>
    <w:rsid w:val="0007580F"/>
    <w:rsid w:val="00075865"/>
    <w:rsid w:val="000758EA"/>
    <w:rsid w:val="00075903"/>
    <w:rsid w:val="00075920"/>
    <w:rsid w:val="000759C1"/>
    <w:rsid w:val="00075AB2"/>
    <w:rsid w:val="00075B06"/>
    <w:rsid w:val="00075C2C"/>
    <w:rsid w:val="00075DA2"/>
    <w:rsid w:val="00075F6D"/>
    <w:rsid w:val="0007605C"/>
    <w:rsid w:val="00076132"/>
    <w:rsid w:val="00076170"/>
    <w:rsid w:val="00076266"/>
    <w:rsid w:val="00076558"/>
    <w:rsid w:val="00076800"/>
    <w:rsid w:val="000768B5"/>
    <w:rsid w:val="00076AAE"/>
    <w:rsid w:val="00076ACD"/>
    <w:rsid w:val="00076C09"/>
    <w:rsid w:val="00076C40"/>
    <w:rsid w:val="00076E39"/>
    <w:rsid w:val="00076EC0"/>
    <w:rsid w:val="00076F6B"/>
    <w:rsid w:val="000770AB"/>
    <w:rsid w:val="0007715A"/>
    <w:rsid w:val="00077357"/>
    <w:rsid w:val="00077445"/>
    <w:rsid w:val="00077470"/>
    <w:rsid w:val="0007764B"/>
    <w:rsid w:val="00077681"/>
    <w:rsid w:val="000776DD"/>
    <w:rsid w:val="00077741"/>
    <w:rsid w:val="000777CD"/>
    <w:rsid w:val="000777EE"/>
    <w:rsid w:val="00077810"/>
    <w:rsid w:val="00077860"/>
    <w:rsid w:val="00077B88"/>
    <w:rsid w:val="00077C4A"/>
    <w:rsid w:val="00077FB4"/>
    <w:rsid w:val="00077FBA"/>
    <w:rsid w:val="00077FF9"/>
    <w:rsid w:val="00080325"/>
    <w:rsid w:val="00080412"/>
    <w:rsid w:val="0008044C"/>
    <w:rsid w:val="000805AF"/>
    <w:rsid w:val="00080643"/>
    <w:rsid w:val="00080C26"/>
    <w:rsid w:val="00080C91"/>
    <w:rsid w:val="00080DE6"/>
    <w:rsid w:val="00080F92"/>
    <w:rsid w:val="0008105E"/>
    <w:rsid w:val="000810D4"/>
    <w:rsid w:val="0008116F"/>
    <w:rsid w:val="00081205"/>
    <w:rsid w:val="00081212"/>
    <w:rsid w:val="000815F4"/>
    <w:rsid w:val="0008170F"/>
    <w:rsid w:val="00081710"/>
    <w:rsid w:val="00081738"/>
    <w:rsid w:val="00081851"/>
    <w:rsid w:val="0008197C"/>
    <w:rsid w:val="00081B59"/>
    <w:rsid w:val="00081BA5"/>
    <w:rsid w:val="00081BC4"/>
    <w:rsid w:val="00081C54"/>
    <w:rsid w:val="00081D1E"/>
    <w:rsid w:val="00081D3D"/>
    <w:rsid w:val="00081D74"/>
    <w:rsid w:val="00082008"/>
    <w:rsid w:val="00082012"/>
    <w:rsid w:val="00082242"/>
    <w:rsid w:val="000823D5"/>
    <w:rsid w:val="000823D9"/>
    <w:rsid w:val="00082832"/>
    <w:rsid w:val="000828CE"/>
    <w:rsid w:val="00082CCF"/>
    <w:rsid w:val="00082E9B"/>
    <w:rsid w:val="00082F56"/>
    <w:rsid w:val="00083063"/>
    <w:rsid w:val="00083172"/>
    <w:rsid w:val="000831EE"/>
    <w:rsid w:val="000831F4"/>
    <w:rsid w:val="0008337E"/>
    <w:rsid w:val="000835F6"/>
    <w:rsid w:val="00083768"/>
    <w:rsid w:val="000838F4"/>
    <w:rsid w:val="00083969"/>
    <w:rsid w:val="00083A2C"/>
    <w:rsid w:val="00083B0F"/>
    <w:rsid w:val="00083B44"/>
    <w:rsid w:val="00083BAF"/>
    <w:rsid w:val="00083C7A"/>
    <w:rsid w:val="00083F79"/>
    <w:rsid w:val="000842BC"/>
    <w:rsid w:val="0008446F"/>
    <w:rsid w:val="0008451D"/>
    <w:rsid w:val="0008469E"/>
    <w:rsid w:val="0008480A"/>
    <w:rsid w:val="00084824"/>
    <w:rsid w:val="00084A65"/>
    <w:rsid w:val="00084B34"/>
    <w:rsid w:val="00084C56"/>
    <w:rsid w:val="00084C71"/>
    <w:rsid w:val="00084CB7"/>
    <w:rsid w:val="00084E46"/>
    <w:rsid w:val="00084EE9"/>
    <w:rsid w:val="000852E3"/>
    <w:rsid w:val="000853B1"/>
    <w:rsid w:val="0008541B"/>
    <w:rsid w:val="000854BB"/>
    <w:rsid w:val="00085707"/>
    <w:rsid w:val="0008579F"/>
    <w:rsid w:val="000858BD"/>
    <w:rsid w:val="00085961"/>
    <w:rsid w:val="00085A4C"/>
    <w:rsid w:val="00085AAF"/>
    <w:rsid w:val="00085AD2"/>
    <w:rsid w:val="00085C10"/>
    <w:rsid w:val="00085C9F"/>
    <w:rsid w:val="00085DA2"/>
    <w:rsid w:val="00085F14"/>
    <w:rsid w:val="00086120"/>
    <w:rsid w:val="000862A2"/>
    <w:rsid w:val="00086348"/>
    <w:rsid w:val="00086444"/>
    <w:rsid w:val="00086464"/>
    <w:rsid w:val="00086712"/>
    <w:rsid w:val="00086752"/>
    <w:rsid w:val="00086A2E"/>
    <w:rsid w:val="00086B10"/>
    <w:rsid w:val="00086BF4"/>
    <w:rsid w:val="00086C3D"/>
    <w:rsid w:val="00086E9C"/>
    <w:rsid w:val="00087081"/>
    <w:rsid w:val="00087142"/>
    <w:rsid w:val="00087289"/>
    <w:rsid w:val="00087341"/>
    <w:rsid w:val="00087347"/>
    <w:rsid w:val="0008755F"/>
    <w:rsid w:val="00087671"/>
    <w:rsid w:val="00087767"/>
    <w:rsid w:val="00087830"/>
    <w:rsid w:val="00087973"/>
    <w:rsid w:val="00087B38"/>
    <w:rsid w:val="00087D56"/>
    <w:rsid w:val="00087D5B"/>
    <w:rsid w:val="00087E35"/>
    <w:rsid w:val="00087F8A"/>
    <w:rsid w:val="000901CF"/>
    <w:rsid w:val="00090288"/>
    <w:rsid w:val="000903C2"/>
    <w:rsid w:val="000904BB"/>
    <w:rsid w:val="000904EB"/>
    <w:rsid w:val="00090580"/>
    <w:rsid w:val="000906A7"/>
    <w:rsid w:val="000909BE"/>
    <w:rsid w:val="00090A0F"/>
    <w:rsid w:val="00090A87"/>
    <w:rsid w:val="00090AD0"/>
    <w:rsid w:val="00090B6D"/>
    <w:rsid w:val="00090D93"/>
    <w:rsid w:val="00090E5A"/>
    <w:rsid w:val="00090F15"/>
    <w:rsid w:val="00090F66"/>
    <w:rsid w:val="00091154"/>
    <w:rsid w:val="0009115C"/>
    <w:rsid w:val="000911ED"/>
    <w:rsid w:val="000912A3"/>
    <w:rsid w:val="000913DB"/>
    <w:rsid w:val="0009146A"/>
    <w:rsid w:val="00091479"/>
    <w:rsid w:val="000916DA"/>
    <w:rsid w:val="0009175E"/>
    <w:rsid w:val="00091999"/>
    <w:rsid w:val="00091D69"/>
    <w:rsid w:val="000925F8"/>
    <w:rsid w:val="0009272D"/>
    <w:rsid w:val="0009279F"/>
    <w:rsid w:val="000929F3"/>
    <w:rsid w:val="00092A13"/>
    <w:rsid w:val="00092B3B"/>
    <w:rsid w:val="00092B68"/>
    <w:rsid w:val="00092D5A"/>
    <w:rsid w:val="00092D7D"/>
    <w:rsid w:val="00093152"/>
    <w:rsid w:val="00093387"/>
    <w:rsid w:val="00093427"/>
    <w:rsid w:val="000934E8"/>
    <w:rsid w:val="0009351B"/>
    <w:rsid w:val="0009364B"/>
    <w:rsid w:val="000936C2"/>
    <w:rsid w:val="0009388A"/>
    <w:rsid w:val="00093A5B"/>
    <w:rsid w:val="00093AB6"/>
    <w:rsid w:val="00093AEE"/>
    <w:rsid w:val="00093B63"/>
    <w:rsid w:val="00093D2B"/>
    <w:rsid w:val="00093E57"/>
    <w:rsid w:val="00093ECE"/>
    <w:rsid w:val="000940F0"/>
    <w:rsid w:val="000940F9"/>
    <w:rsid w:val="000941FC"/>
    <w:rsid w:val="000942D4"/>
    <w:rsid w:val="000943DF"/>
    <w:rsid w:val="00094412"/>
    <w:rsid w:val="0009467B"/>
    <w:rsid w:val="00094747"/>
    <w:rsid w:val="000947BE"/>
    <w:rsid w:val="000947FD"/>
    <w:rsid w:val="00094811"/>
    <w:rsid w:val="00094842"/>
    <w:rsid w:val="00094BB5"/>
    <w:rsid w:val="00094C4C"/>
    <w:rsid w:val="00094D3A"/>
    <w:rsid w:val="00094EE1"/>
    <w:rsid w:val="00094F09"/>
    <w:rsid w:val="00094F50"/>
    <w:rsid w:val="00094F5E"/>
    <w:rsid w:val="00094FF9"/>
    <w:rsid w:val="00095035"/>
    <w:rsid w:val="0009506D"/>
    <w:rsid w:val="0009507B"/>
    <w:rsid w:val="00095475"/>
    <w:rsid w:val="0009586B"/>
    <w:rsid w:val="00095911"/>
    <w:rsid w:val="00095AAD"/>
    <w:rsid w:val="00095BBB"/>
    <w:rsid w:val="00095EA9"/>
    <w:rsid w:val="000961DF"/>
    <w:rsid w:val="00096288"/>
    <w:rsid w:val="0009644C"/>
    <w:rsid w:val="00096726"/>
    <w:rsid w:val="00096736"/>
    <w:rsid w:val="00096851"/>
    <w:rsid w:val="0009690F"/>
    <w:rsid w:val="00096927"/>
    <w:rsid w:val="0009697B"/>
    <w:rsid w:val="000969FF"/>
    <w:rsid w:val="00096A17"/>
    <w:rsid w:val="00096A44"/>
    <w:rsid w:val="00096C1C"/>
    <w:rsid w:val="00096DCF"/>
    <w:rsid w:val="00096FBE"/>
    <w:rsid w:val="000970D6"/>
    <w:rsid w:val="000970F1"/>
    <w:rsid w:val="00097310"/>
    <w:rsid w:val="000974DD"/>
    <w:rsid w:val="00097812"/>
    <w:rsid w:val="0009788B"/>
    <w:rsid w:val="00097AA0"/>
    <w:rsid w:val="00097ADA"/>
    <w:rsid w:val="00097BB0"/>
    <w:rsid w:val="00097C76"/>
    <w:rsid w:val="00097D1E"/>
    <w:rsid w:val="00097FB7"/>
    <w:rsid w:val="00097FF4"/>
    <w:rsid w:val="000A00B2"/>
    <w:rsid w:val="000A028D"/>
    <w:rsid w:val="000A0322"/>
    <w:rsid w:val="000A0473"/>
    <w:rsid w:val="000A054E"/>
    <w:rsid w:val="000A083D"/>
    <w:rsid w:val="000A0AA5"/>
    <w:rsid w:val="000A0BE0"/>
    <w:rsid w:val="000A0DD0"/>
    <w:rsid w:val="000A0E00"/>
    <w:rsid w:val="000A0FA0"/>
    <w:rsid w:val="000A115B"/>
    <w:rsid w:val="000A1185"/>
    <w:rsid w:val="000A123E"/>
    <w:rsid w:val="000A136D"/>
    <w:rsid w:val="000A13B2"/>
    <w:rsid w:val="000A146E"/>
    <w:rsid w:val="000A1479"/>
    <w:rsid w:val="000A14B9"/>
    <w:rsid w:val="000A15F8"/>
    <w:rsid w:val="000A164F"/>
    <w:rsid w:val="000A1687"/>
    <w:rsid w:val="000A168D"/>
    <w:rsid w:val="000A16CC"/>
    <w:rsid w:val="000A1802"/>
    <w:rsid w:val="000A18EE"/>
    <w:rsid w:val="000A199B"/>
    <w:rsid w:val="000A1A28"/>
    <w:rsid w:val="000A1B7C"/>
    <w:rsid w:val="000A1E7D"/>
    <w:rsid w:val="000A1EF1"/>
    <w:rsid w:val="000A2031"/>
    <w:rsid w:val="000A2277"/>
    <w:rsid w:val="000A2390"/>
    <w:rsid w:val="000A25CC"/>
    <w:rsid w:val="000A2667"/>
    <w:rsid w:val="000A26A0"/>
    <w:rsid w:val="000A28C5"/>
    <w:rsid w:val="000A2AD4"/>
    <w:rsid w:val="000A2C33"/>
    <w:rsid w:val="000A2D4E"/>
    <w:rsid w:val="000A2DA8"/>
    <w:rsid w:val="000A2E0D"/>
    <w:rsid w:val="000A2E84"/>
    <w:rsid w:val="000A2EDA"/>
    <w:rsid w:val="000A2EDF"/>
    <w:rsid w:val="000A3035"/>
    <w:rsid w:val="000A31B9"/>
    <w:rsid w:val="000A31BE"/>
    <w:rsid w:val="000A3637"/>
    <w:rsid w:val="000A3728"/>
    <w:rsid w:val="000A3773"/>
    <w:rsid w:val="000A378A"/>
    <w:rsid w:val="000A37BB"/>
    <w:rsid w:val="000A38F5"/>
    <w:rsid w:val="000A39D8"/>
    <w:rsid w:val="000A3BF2"/>
    <w:rsid w:val="000A3C3E"/>
    <w:rsid w:val="000A3CC2"/>
    <w:rsid w:val="000A3D50"/>
    <w:rsid w:val="000A3DC4"/>
    <w:rsid w:val="000A3E41"/>
    <w:rsid w:val="000A3EE5"/>
    <w:rsid w:val="000A3F8E"/>
    <w:rsid w:val="000A407A"/>
    <w:rsid w:val="000A40E9"/>
    <w:rsid w:val="000A43F1"/>
    <w:rsid w:val="000A45CF"/>
    <w:rsid w:val="000A460E"/>
    <w:rsid w:val="000A464B"/>
    <w:rsid w:val="000A47BF"/>
    <w:rsid w:val="000A4987"/>
    <w:rsid w:val="000A4AF0"/>
    <w:rsid w:val="000A4B2C"/>
    <w:rsid w:val="000A4BD6"/>
    <w:rsid w:val="000A4CA4"/>
    <w:rsid w:val="000A4D9A"/>
    <w:rsid w:val="000A4F0C"/>
    <w:rsid w:val="000A51C9"/>
    <w:rsid w:val="000A54B9"/>
    <w:rsid w:val="000A551F"/>
    <w:rsid w:val="000A554C"/>
    <w:rsid w:val="000A55E7"/>
    <w:rsid w:val="000A55F7"/>
    <w:rsid w:val="000A5670"/>
    <w:rsid w:val="000A56F1"/>
    <w:rsid w:val="000A5799"/>
    <w:rsid w:val="000A57B9"/>
    <w:rsid w:val="000A593A"/>
    <w:rsid w:val="000A5C03"/>
    <w:rsid w:val="000A5C24"/>
    <w:rsid w:val="000A5CEF"/>
    <w:rsid w:val="000A5EE7"/>
    <w:rsid w:val="000A5F45"/>
    <w:rsid w:val="000A6158"/>
    <w:rsid w:val="000A616F"/>
    <w:rsid w:val="000A6241"/>
    <w:rsid w:val="000A62AF"/>
    <w:rsid w:val="000A63B5"/>
    <w:rsid w:val="000A64F5"/>
    <w:rsid w:val="000A65C5"/>
    <w:rsid w:val="000A67BA"/>
    <w:rsid w:val="000A6A05"/>
    <w:rsid w:val="000A6BD4"/>
    <w:rsid w:val="000A6C51"/>
    <w:rsid w:val="000A6D28"/>
    <w:rsid w:val="000A6D32"/>
    <w:rsid w:val="000A6D9C"/>
    <w:rsid w:val="000A6E17"/>
    <w:rsid w:val="000A6F7D"/>
    <w:rsid w:val="000A71A7"/>
    <w:rsid w:val="000A72BE"/>
    <w:rsid w:val="000A7455"/>
    <w:rsid w:val="000A7485"/>
    <w:rsid w:val="000A7495"/>
    <w:rsid w:val="000A74E6"/>
    <w:rsid w:val="000A74F9"/>
    <w:rsid w:val="000A7540"/>
    <w:rsid w:val="000A756B"/>
    <w:rsid w:val="000A76BE"/>
    <w:rsid w:val="000A76DB"/>
    <w:rsid w:val="000A77AA"/>
    <w:rsid w:val="000A7901"/>
    <w:rsid w:val="000A798F"/>
    <w:rsid w:val="000A7A37"/>
    <w:rsid w:val="000A7C68"/>
    <w:rsid w:val="000A7E47"/>
    <w:rsid w:val="000B0078"/>
    <w:rsid w:val="000B00A8"/>
    <w:rsid w:val="000B0176"/>
    <w:rsid w:val="000B024E"/>
    <w:rsid w:val="000B0293"/>
    <w:rsid w:val="000B0345"/>
    <w:rsid w:val="000B050F"/>
    <w:rsid w:val="000B051B"/>
    <w:rsid w:val="000B0766"/>
    <w:rsid w:val="000B0798"/>
    <w:rsid w:val="000B0985"/>
    <w:rsid w:val="000B0A34"/>
    <w:rsid w:val="000B0ACC"/>
    <w:rsid w:val="000B0BF9"/>
    <w:rsid w:val="000B0DCB"/>
    <w:rsid w:val="000B0FD8"/>
    <w:rsid w:val="000B10CA"/>
    <w:rsid w:val="000B117F"/>
    <w:rsid w:val="000B11A7"/>
    <w:rsid w:val="000B11C1"/>
    <w:rsid w:val="000B1227"/>
    <w:rsid w:val="000B127A"/>
    <w:rsid w:val="000B1335"/>
    <w:rsid w:val="000B138C"/>
    <w:rsid w:val="000B15A6"/>
    <w:rsid w:val="000B1673"/>
    <w:rsid w:val="000B1781"/>
    <w:rsid w:val="000B1884"/>
    <w:rsid w:val="000B18E7"/>
    <w:rsid w:val="000B1A3A"/>
    <w:rsid w:val="000B1B39"/>
    <w:rsid w:val="000B1BBF"/>
    <w:rsid w:val="000B1C88"/>
    <w:rsid w:val="000B1D8F"/>
    <w:rsid w:val="000B1D90"/>
    <w:rsid w:val="000B1E41"/>
    <w:rsid w:val="000B2023"/>
    <w:rsid w:val="000B202B"/>
    <w:rsid w:val="000B2098"/>
    <w:rsid w:val="000B20B1"/>
    <w:rsid w:val="000B240C"/>
    <w:rsid w:val="000B2567"/>
    <w:rsid w:val="000B2626"/>
    <w:rsid w:val="000B26ED"/>
    <w:rsid w:val="000B2700"/>
    <w:rsid w:val="000B2751"/>
    <w:rsid w:val="000B27D6"/>
    <w:rsid w:val="000B28F8"/>
    <w:rsid w:val="000B2913"/>
    <w:rsid w:val="000B29DE"/>
    <w:rsid w:val="000B2A8D"/>
    <w:rsid w:val="000B2C47"/>
    <w:rsid w:val="000B2E8E"/>
    <w:rsid w:val="000B2F2E"/>
    <w:rsid w:val="000B2F30"/>
    <w:rsid w:val="000B3024"/>
    <w:rsid w:val="000B3128"/>
    <w:rsid w:val="000B31AD"/>
    <w:rsid w:val="000B330F"/>
    <w:rsid w:val="000B331E"/>
    <w:rsid w:val="000B3338"/>
    <w:rsid w:val="000B33E2"/>
    <w:rsid w:val="000B3504"/>
    <w:rsid w:val="000B390C"/>
    <w:rsid w:val="000B3A08"/>
    <w:rsid w:val="000B3AEB"/>
    <w:rsid w:val="000B3AFE"/>
    <w:rsid w:val="000B3C51"/>
    <w:rsid w:val="000B3D57"/>
    <w:rsid w:val="000B3EA5"/>
    <w:rsid w:val="000B3ECA"/>
    <w:rsid w:val="000B3FC9"/>
    <w:rsid w:val="000B3FCF"/>
    <w:rsid w:val="000B3FF4"/>
    <w:rsid w:val="000B4107"/>
    <w:rsid w:val="000B4127"/>
    <w:rsid w:val="000B414F"/>
    <w:rsid w:val="000B41C6"/>
    <w:rsid w:val="000B43C0"/>
    <w:rsid w:val="000B4657"/>
    <w:rsid w:val="000B48A7"/>
    <w:rsid w:val="000B497F"/>
    <w:rsid w:val="000B49D6"/>
    <w:rsid w:val="000B4A2A"/>
    <w:rsid w:val="000B4A57"/>
    <w:rsid w:val="000B4BDB"/>
    <w:rsid w:val="000B4BF8"/>
    <w:rsid w:val="000B4C28"/>
    <w:rsid w:val="000B4C7C"/>
    <w:rsid w:val="000B4C85"/>
    <w:rsid w:val="000B4CCA"/>
    <w:rsid w:val="000B4D85"/>
    <w:rsid w:val="000B4DE4"/>
    <w:rsid w:val="000B4DF8"/>
    <w:rsid w:val="000B4FA9"/>
    <w:rsid w:val="000B5047"/>
    <w:rsid w:val="000B512E"/>
    <w:rsid w:val="000B5397"/>
    <w:rsid w:val="000B55CF"/>
    <w:rsid w:val="000B57ED"/>
    <w:rsid w:val="000B5958"/>
    <w:rsid w:val="000B59E6"/>
    <w:rsid w:val="000B5A42"/>
    <w:rsid w:val="000B5A5B"/>
    <w:rsid w:val="000B5A97"/>
    <w:rsid w:val="000B5B87"/>
    <w:rsid w:val="000B5C0E"/>
    <w:rsid w:val="000B61CA"/>
    <w:rsid w:val="000B6344"/>
    <w:rsid w:val="000B638A"/>
    <w:rsid w:val="000B63F9"/>
    <w:rsid w:val="000B6572"/>
    <w:rsid w:val="000B66B2"/>
    <w:rsid w:val="000B6738"/>
    <w:rsid w:val="000B6754"/>
    <w:rsid w:val="000B687D"/>
    <w:rsid w:val="000B6967"/>
    <w:rsid w:val="000B698A"/>
    <w:rsid w:val="000B6AEE"/>
    <w:rsid w:val="000B6B0D"/>
    <w:rsid w:val="000B6BF0"/>
    <w:rsid w:val="000B6CC5"/>
    <w:rsid w:val="000B6D13"/>
    <w:rsid w:val="000B6DBD"/>
    <w:rsid w:val="000B6DF1"/>
    <w:rsid w:val="000B6E4E"/>
    <w:rsid w:val="000B6EA2"/>
    <w:rsid w:val="000B70BC"/>
    <w:rsid w:val="000B722B"/>
    <w:rsid w:val="000B72FE"/>
    <w:rsid w:val="000B755B"/>
    <w:rsid w:val="000B761C"/>
    <w:rsid w:val="000B7648"/>
    <w:rsid w:val="000B76B2"/>
    <w:rsid w:val="000B77B3"/>
    <w:rsid w:val="000B79D3"/>
    <w:rsid w:val="000B7A9F"/>
    <w:rsid w:val="000B7C40"/>
    <w:rsid w:val="000B7C72"/>
    <w:rsid w:val="000B7EF8"/>
    <w:rsid w:val="000B7F4D"/>
    <w:rsid w:val="000B7F70"/>
    <w:rsid w:val="000C0314"/>
    <w:rsid w:val="000C0465"/>
    <w:rsid w:val="000C0469"/>
    <w:rsid w:val="000C0502"/>
    <w:rsid w:val="000C072C"/>
    <w:rsid w:val="000C0756"/>
    <w:rsid w:val="000C075E"/>
    <w:rsid w:val="000C090C"/>
    <w:rsid w:val="000C0A0A"/>
    <w:rsid w:val="000C0B48"/>
    <w:rsid w:val="000C0B5C"/>
    <w:rsid w:val="000C0C20"/>
    <w:rsid w:val="000C0D46"/>
    <w:rsid w:val="000C0D72"/>
    <w:rsid w:val="000C0D89"/>
    <w:rsid w:val="000C0E0D"/>
    <w:rsid w:val="000C0EF3"/>
    <w:rsid w:val="000C0F66"/>
    <w:rsid w:val="000C10BF"/>
    <w:rsid w:val="000C10D1"/>
    <w:rsid w:val="000C11C6"/>
    <w:rsid w:val="000C1901"/>
    <w:rsid w:val="000C1A16"/>
    <w:rsid w:val="000C1C1B"/>
    <w:rsid w:val="000C1D2C"/>
    <w:rsid w:val="000C1DF7"/>
    <w:rsid w:val="000C1DFE"/>
    <w:rsid w:val="000C1E95"/>
    <w:rsid w:val="000C213F"/>
    <w:rsid w:val="000C231C"/>
    <w:rsid w:val="000C247F"/>
    <w:rsid w:val="000C25C0"/>
    <w:rsid w:val="000C26C7"/>
    <w:rsid w:val="000C2781"/>
    <w:rsid w:val="000C27B5"/>
    <w:rsid w:val="000C27F9"/>
    <w:rsid w:val="000C2981"/>
    <w:rsid w:val="000C2C03"/>
    <w:rsid w:val="000C2C21"/>
    <w:rsid w:val="000C2DB2"/>
    <w:rsid w:val="000C2E18"/>
    <w:rsid w:val="000C2E8A"/>
    <w:rsid w:val="000C2ED1"/>
    <w:rsid w:val="000C2F59"/>
    <w:rsid w:val="000C31D4"/>
    <w:rsid w:val="000C32C6"/>
    <w:rsid w:val="000C332D"/>
    <w:rsid w:val="000C33D2"/>
    <w:rsid w:val="000C3469"/>
    <w:rsid w:val="000C355C"/>
    <w:rsid w:val="000C3604"/>
    <w:rsid w:val="000C370B"/>
    <w:rsid w:val="000C382E"/>
    <w:rsid w:val="000C38BB"/>
    <w:rsid w:val="000C39DF"/>
    <w:rsid w:val="000C3AD3"/>
    <w:rsid w:val="000C3C49"/>
    <w:rsid w:val="000C3FD0"/>
    <w:rsid w:val="000C4197"/>
    <w:rsid w:val="000C444C"/>
    <w:rsid w:val="000C4597"/>
    <w:rsid w:val="000C465D"/>
    <w:rsid w:val="000C4859"/>
    <w:rsid w:val="000C4895"/>
    <w:rsid w:val="000C499C"/>
    <w:rsid w:val="000C4B59"/>
    <w:rsid w:val="000C4B68"/>
    <w:rsid w:val="000C4C17"/>
    <w:rsid w:val="000C4D28"/>
    <w:rsid w:val="000C4D70"/>
    <w:rsid w:val="000C4F29"/>
    <w:rsid w:val="000C51C8"/>
    <w:rsid w:val="000C541F"/>
    <w:rsid w:val="000C5494"/>
    <w:rsid w:val="000C54D5"/>
    <w:rsid w:val="000C550B"/>
    <w:rsid w:val="000C5613"/>
    <w:rsid w:val="000C585C"/>
    <w:rsid w:val="000C5937"/>
    <w:rsid w:val="000C59E1"/>
    <w:rsid w:val="000C5B23"/>
    <w:rsid w:val="000C5B36"/>
    <w:rsid w:val="000C5B9B"/>
    <w:rsid w:val="000C5D2F"/>
    <w:rsid w:val="000C5F05"/>
    <w:rsid w:val="000C5FA3"/>
    <w:rsid w:val="000C600F"/>
    <w:rsid w:val="000C608C"/>
    <w:rsid w:val="000C62AA"/>
    <w:rsid w:val="000C6366"/>
    <w:rsid w:val="000C656A"/>
    <w:rsid w:val="000C676E"/>
    <w:rsid w:val="000C677E"/>
    <w:rsid w:val="000C6783"/>
    <w:rsid w:val="000C67F7"/>
    <w:rsid w:val="000C6C48"/>
    <w:rsid w:val="000C6C80"/>
    <w:rsid w:val="000C6CB1"/>
    <w:rsid w:val="000C6D2F"/>
    <w:rsid w:val="000C6F88"/>
    <w:rsid w:val="000C6FB0"/>
    <w:rsid w:val="000C700F"/>
    <w:rsid w:val="000C7186"/>
    <w:rsid w:val="000C71A7"/>
    <w:rsid w:val="000C7357"/>
    <w:rsid w:val="000C73CE"/>
    <w:rsid w:val="000C754A"/>
    <w:rsid w:val="000C7621"/>
    <w:rsid w:val="000C764B"/>
    <w:rsid w:val="000C76B5"/>
    <w:rsid w:val="000C773D"/>
    <w:rsid w:val="000C7829"/>
    <w:rsid w:val="000C7996"/>
    <w:rsid w:val="000C79D2"/>
    <w:rsid w:val="000C7BD3"/>
    <w:rsid w:val="000C7C00"/>
    <w:rsid w:val="000C7C1A"/>
    <w:rsid w:val="000C7CB6"/>
    <w:rsid w:val="000C7D76"/>
    <w:rsid w:val="000C7DB8"/>
    <w:rsid w:val="000C7F52"/>
    <w:rsid w:val="000C7F66"/>
    <w:rsid w:val="000CAB17"/>
    <w:rsid w:val="000D0060"/>
    <w:rsid w:val="000D0289"/>
    <w:rsid w:val="000D0346"/>
    <w:rsid w:val="000D03A4"/>
    <w:rsid w:val="000D03E6"/>
    <w:rsid w:val="000D042D"/>
    <w:rsid w:val="000D05D8"/>
    <w:rsid w:val="000D0920"/>
    <w:rsid w:val="000D09AD"/>
    <w:rsid w:val="000D0B64"/>
    <w:rsid w:val="000D0BC2"/>
    <w:rsid w:val="000D0C4A"/>
    <w:rsid w:val="000D0EBF"/>
    <w:rsid w:val="000D0ED6"/>
    <w:rsid w:val="000D1102"/>
    <w:rsid w:val="000D1172"/>
    <w:rsid w:val="000D1230"/>
    <w:rsid w:val="000D1372"/>
    <w:rsid w:val="000D16C0"/>
    <w:rsid w:val="000D1758"/>
    <w:rsid w:val="000D17CE"/>
    <w:rsid w:val="000D191F"/>
    <w:rsid w:val="000D19C3"/>
    <w:rsid w:val="000D19C4"/>
    <w:rsid w:val="000D1BE9"/>
    <w:rsid w:val="000D1C08"/>
    <w:rsid w:val="000D1C2F"/>
    <w:rsid w:val="000D1C5F"/>
    <w:rsid w:val="000D1CC8"/>
    <w:rsid w:val="000D1DAA"/>
    <w:rsid w:val="000D1E52"/>
    <w:rsid w:val="000D1F06"/>
    <w:rsid w:val="000D1F7D"/>
    <w:rsid w:val="000D2063"/>
    <w:rsid w:val="000D2158"/>
    <w:rsid w:val="000D2241"/>
    <w:rsid w:val="000D2349"/>
    <w:rsid w:val="000D248F"/>
    <w:rsid w:val="000D2582"/>
    <w:rsid w:val="000D2662"/>
    <w:rsid w:val="000D2710"/>
    <w:rsid w:val="000D28B4"/>
    <w:rsid w:val="000D28E3"/>
    <w:rsid w:val="000D2959"/>
    <w:rsid w:val="000D2D84"/>
    <w:rsid w:val="000D2DB4"/>
    <w:rsid w:val="000D2F9D"/>
    <w:rsid w:val="000D30EA"/>
    <w:rsid w:val="000D3288"/>
    <w:rsid w:val="000D32BC"/>
    <w:rsid w:val="000D33BE"/>
    <w:rsid w:val="000D34EF"/>
    <w:rsid w:val="000D3556"/>
    <w:rsid w:val="000D3687"/>
    <w:rsid w:val="000D372F"/>
    <w:rsid w:val="000D3A93"/>
    <w:rsid w:val="000D3D3D"/>
    <w:rsid w:val="000D3D5E"/>
    <w:rsid w:val="000D3FC1"/>
    <w:rsid w:val="000D3FEB"/>
    <w:rsid w:val="000D4090"/>
    <w:rsid w:val="000D42FE"/>
    <w:rsid w:val="000D43F2"/>
    <w:rsid w:val="000D4456"/>
    <w:rsid w:val="000D47B0"/>
    <w:rsid w:val="000D47FC"/>
    <w:rsid w:val="000D480B"/>
    <w:rsid w:val="000D481A"/>
    <w:rsid w:val="000D482C"/>
    <w:rsid w:val="000D4903"/>
    <w:rsid w:val="000D4966"/>
    <w:rsid w:val="000D4A93"/>
    <w:rsid w:val="000D4BA0"/>
    <w:rsid w:val="000D4C18"/>
    <w:rsid w:val="000D4CB8"/>
    <w:rsid w:val="000D4E0C"/>
    <w:rsid w:val="000D52B0"/>
    <w:rsid w:val="000D5392"/>
    <w:rsid w:val="000D557C"/>
    <w:rsid w:val="000D56C3"/>
    <w:rsid w:val="000D5707"/>
    <w:rsid w:val="000D57F2"/>
    <w:rsid w:val="000D5920"/>
    <w:rsid w:val="000D5B11"/>
    <w:rsid w:val="000D5B71"/>
    <w:rsid w:val="000D5BA0"/>
    <w:rsid w:val="000D5BB1"/>
    <w:rsid w:val="000D5CCD"/>
    <w:rsid w:val="000D5CDD"/>
    <w:rsid w:val="000D5E6E"/>
    <w:rsid w:val="000D5E76"/>
    <w:rsid w:val="000D5F5F"/>
    <w:rsid w:val="000D6099"/>
    <w:rsid w:val="000D64A7"/>
    <w:rsid w:val="000D64DE"/>
    <w:rsid w:val="000D65EC"/>
    <w:rsid w:val="000D67EE"/>
    <w:rsid w:val="000D6A4F"/>
    <w:rsid w:val="000D6AB6"/>
    <w:rsid w:val="000D6DD1"/>
    <w:rsid w:val="000D6FB3"/>
    <w:rsid w:val="000D7344"/>
    <w:rsid w:val="000D74BC"/>
    <w:rsid w:val="000D7536"/>
    <w:rsid w:val="000D7582"/>
    <w:rsid w:val="000D75B9"/>
    <w:rsid w:val="000D760B"/>
    <w:rsid w:val="000D7641"/>
    <w:rsid w:val="000D764E"/>
    <w:rsid w:val="000D7A88"/>
    <w:rsid w:val="000D7A8D"/>
    <w:rsid w:val="000D7AC2"/>
    <w:rsid w:val="000D7C25"/>
    <w:rsid w:val="000D7C43"/>
    <w:rsid w:val="000D7D6B"/>
    <w:rsid w:val="000D7DFA"/>
    <w:rsid w:val="000D7F56"/>
    <w:rsid w:val="000D7F82"/>
    <w:rsid w:val="000DDA2E"/>
    <w:rsid w:val="000E0020"/>
    <w:rsid w:val="000E016C"/>
    <w:rsid w:val="000E0224"/>
    <w:rsid w:val="000E02EB"/>
    <w:rsid w:val="000E03FF"/>
    <w:rsid w:val="000E06C7"/>
    <w:rsid w:val="000E075E"/>
    <w:rsid w:val="000E0780"/>
    <w:rsid w:val="000E095A"/>
    <w:rsid w:val="000E099F"/>
    <w:rsid w:val="000E0CD7"/>
    <w:rsid w:val="000E0D35"/>
    <w:rsid w:val="000E0E03"/>
    <w:rsid w:val="000E0F18"/>
    <w:rsid w:val="000E1138"/>
    <w:rsid w:val="000E1163"/>
    <w:rsid w:val="000E1212"/>
    <w:rsid w:val="000E12A3"/>
    <w:rsid w:val="000E12FA"/>
    <w:rsid w:val="000E1466"/>
    <w:rsid w:val="000E152B"/>
    <w:rsid w:val="000E155E"/>
    <w:rsid w:val="000E16C4"/>
    <w:rsid w:val="000E18C9"/>
    <w:rsid w:val="000E1ABE"/>
    <w:rsid w:val="000E1B7C"/>
    <w:rsid w:val="000E1BAF"/>
    <w:rsid w:val="000E1C3B"/>
    <w:rsid w:val="000E1C69"/>
    <w:rsid w:val="000E1E4F"/>
    <w:rsid w:val="000E1E55"/>
    <w:rsid w:val="000E1EE0"/>
    <w:rsid w:val="000E1FD0"/>
    <w:rsid w:val="000E2004"/>
    <w:rsid w:val="000E2232"/>
    <w:rsid w:val="000E22A0"/>
    <w:rsid w:val="000E2344"/>
    <w:rsid w:val="000E2371"/>
    <w:rsid w:val="000E2387"/>
    <w:rsid w:val="000E252A"/>
    <w:rsid w:val="000E25A4"/>
    <w:rsid w:val="000E266A"/>
    <w:rsid w:val="000E2689"/>
    <w:rsid w:val="000E26EC"/>
    <w:rsid w:val="000E2731"/>
    <w:rsid w:val="000E2786"/>
    <w:rsid w:val="000E28BF"/>
    <w:rsid w:val="000E298E"/>
    <w:rsid w:val="000E29CB"/>
    <w:rsid w:val="000E2BCB"/>
    <w:rsid w:val="000E2DBA"/>
    <w:rsid w:val="000E2F6B"/>
    <w:rsid w:val="000E30AF"/>
    <w:rsid w:val="000E30D2"/>
    <w:rsid w:val="000E3124"/>
    <w:rsid w:val="000E312A"/>
    <w:rsid w:val="000E3131"/>
    <w:rsid w:val="000E3143"/>
    <w:rsid w:val="000E3535"/>
    <w:rsid w:val="000E359A"/>
    <w:rsid w:val="000E383E"/>
    <w:rsid w:val="000E38DC"/>
    <w:rsid w:val="000E3B1B"/>
    <w:rsid w:val="000E3BFE"/>
    <w:rsid w:val="000E3D95"/>
    <w:rsid w:val="000E3E99"/>
    <w:rsid w:val="000E3F09"/>
    <w:rsid w:val="000E3F24"/>
    <w:rsid w:val="000E3F51"/>
    <w:rsid w:val="000E3FBE"/>
    <w:rsid w:val="000E4147"/>
    <w:rsid w:val="000E41E2"/>
    <w:rsid w:val="000E42BB"/>
    <w:rsid w:val="000E4556"/>
    <w:rsid w:val="000E4623"/>
    <w:rsid w:val="000E468B"/>
    <w:rsid w:val="000E48CB"/>
    <w:rsid w:val="000E4985"/>
    <w:rsid w:val="000E4A06"/>
    <w:rsid w:val="000E4A55"/>
    <w:rsid w:val="000E4A60"/>
    <w:rsid w:val="000E4AD2"/>
    <w:rsid w:val="000E4D53"/>
    <w:rsid w:val="000E5037"/>
    <w:rsid w:val="000E508A"/>
    <w:rsid w:val="000E528E"/>
    <w:rsid w:val="000E55AB"/>
    <w:rsid w:val="000E572E"/>
    <w:rsid w:val="000E57CA"/>
    <w:rsid w:val="000E589C"/>
    <w:rsid w:val="000E589E"/>
    <w:rsid w:val="000E5A50"/>
    <w:rsid w:val="000E5C8D"/>
    <w:rsid w:val="000E5CEE"/>
    <w:rsid w:val="000E5D8E"/>
    <w:rsid w:val="000E5E38"/>
    <w:rsid w:val="000E5F6F"/>
    <w:rsid w:val="000E605A"/>
    <w:rsid w:val="000E6079"/>
    <w:rsid w:val="000E61C3"/>
    <w:rsid w:val="000E61E9"/>
    <w:rsid w:val="000E61ED"/>
    <w:rsid w:val="000E6263"/>
    <w:rsid w:val="000E62B4"/>
    <w:rsid w:val="000E62B9"/>
    <w:rsid w:val="000E63AA"/>
    <w:rsid w:val="000E645D"/>
    <w:rsid w:val="000E65A3"/>
    <w:rsid w:val="000E66F8"/>
    <w:rsid w:val="000E67E9"/>
    <w:rsid w:val="000E67EF"/>
    <w:rsid w:val="000E6B84"/>
    <w:rsid w:val="000E6B93"/>
    <w:rsid w:val="000E6D73"/>
    <w:rsid w:val="000E6E5B"/>
    <w:rsid w:val="000E6F9E"/>
    <w:rsid w:val="000E6FED"/>
    <w:rsid w:val="000E7048"/>
    <w:rsid w:val="000E7167"/>
    <w:rsid w:val="000E71E5"/>
    <w:rsid w:val="000E72D4"/>
    <w:rsid w:val="000E7332"/>
    <w:rsid w:val="000E7358"/>
    <w:rsid w:val="000E73DB"/>
    <w:rsid w:val="000E7425"/>
    <w:rsid w:val="000E7841"/>
    <w:rsid w:val="000E7A19"/>
    <w:rsid w:val="000E7A6F"/>
    <w:rsid w:val="000E7B8E"/>
    <w:rsid w:val="000E7C40"/>
    <w:rsid w:val="000E7C59"/>
    <w:rsid w:val="000E7D2A"/>
    <w:rsid w:val="000E7D30"/>
    <w:rsid w:val="000F005A"/>
    <w:rsid w:val="000F0118"/>
    <w:rsid w:val="000F047F"/>
    <w:rsid w:val="000F0575"/>
    <w:rsid w:val="000F05E4"/>
    <w:rsid w:val="000F077E"/>
    <w:rsid w:val="000F08D3"/>
    <w:rsid w:val="000F0ACE"/>
    <w:rsid w:val="000F1090"/>
    <w:rsid w:val="000F12C2"/>
    <w:rsid w:val="000F1371"/>
    <w:rsid w:val="000F1405"/>
    <w:rsid w:val="000F154A"/>
    <w:rsid w:val="000F16C2"/>
    <w:rsid w:val="000F16F3"/>
    <w:rsid w:val="000F17B1"/>
    <w:rsid w:val="000F1895"/>
    <w:rsid w:val="000F1B54"/>
    <w:rsid w:val="000F1B7A"/>
    <w:rsid w:val="000F1E56"/>
    <w:rsid w:val="000F1EE6"/>
    <w:rsid w:val="000F1FBA"/>
    <w:rsid w:val="000F1FE1"/>
    <w:rsid w:val="000F2027"/>
    <w:rsid w:val="000F210E"/>
    <w:rsid w:val="000F23C2"/>
    <w:rsid w:val="000F247B"/>
    <w:rsid w:val="000F2579"/>
    <w:rsid w:val="000F270D"/>
    <w:rsid w:val="000F27AF"/>
    <w:rsid w:val="000F27B5"/>
    <w:rsid w:val="000F2A1E"/>
    <w:rsid w:val="000F2A55"/>
    <w:rsid w:val="000F2AED"/>
    <w:rsid w:val="000F2BB4"/>
    <w:rsid w:val="000F2DE2"/>
    <w:rsid w:val="000F2E71"/>
    <w:rsid w:val="000F317A"/>
    <w:rsid w:val="000F3190"/>
    <w:rsid w:val="000F31CD"/>
    <w:rsid w:val="000F31F8"/>
    <w:rsid w:val="000F3221"/>
    <w:rsid w:val="000F3275"/>
    <w:rsid w:val="000F3298"/>
    <w:rsid w:val="000F32CE"/>
    <w:rsid w:val="000F33F5"/>
    <w:rsid w:val="000F33FD"/>
    <w:rsid w:val="000F3684"/>
    <w:rsid w:val="000F36EF"/>
    <w:rsid w:val="000F3912"/>
    <w:rsid w:val="000F39BC"/>
    <w:rsid w:val="000F3A40"/>
    <w:rsid w:val="000F3A90"/>
    <w:rsid w:val="000F3BB2"/>
    <w:rsid w:val="000F3C56"/>
    <w:rsid w:val="000F3CB7"/>
    <w:rsid w:val="000F3CBC"/>
    <w:rsid w:val="000F3CEF"/>
    <w:rsid w:val="000F3D52"/>
    <w:rsid w:val="000F3E92"/>
    <w:rsid w:val="000F4044"/>
    <w:rsid w:val="000F422A"/>
    <w:rsid w:val="000F4233"/>
    <w:rsid w:val="000F4273"/>
    <w:rsid w:val="000F4389"/>
    <w:rsid w:val="000F46CA"/>
    <w:rsid w:val="000F474C"/>
    <w:rsid w:val="000F475B"/>
    <w:rsid w:val="000F4797"/>
    <w:rsid w:val="000F4873"/>
    <w:rsid w:val="000F492B"/>
    <w:rsid w:val="000F4A00"/>
    <w:rsid w:val="000F4B05"/>
    <w:rsid w:val="000F4B4D"/>
    <w:rsid w:val="000F4E16"/>
    <w:rsid w:val="000F4E36"/>
    <w:rsid w:val="000F4F92"/>
    <w:rsid w:val="000F4FC8"/>
    <w:rsid w:val="000F502B"/>
    <w:rsid w:val="000F51B2"/>
    <w:rsid w:val="000F5337"/>
    <w:rsid w:val="000F557F"/>
    <w:rsid w:val="000F56E6"/>
    <w:rsid w:val="000F577E"/>
    <w:rsid w:val="000F57B5"/>
    <w:rsid w:val="000F58A7"/>
    <w:rsid w:val="000F58BC"/>
    <w:rsid w:val="000F59C6"/>
    <w:rsid w:val="000F5B2F"/>
    <w:rsid w:val="000F5DE6"/>
    <w:rsid w:val="000F5E10"/>
    <w:rsid w:val="000F5E7C"/>
    <w:rsid w:val="000F6000"/>
    <w:rsid w:val="000F6176"/>
    <w:rsid w:val="000F61F9"/>
    <w:rsid w:val="000F62E8"/>
    <w:rsid w:val="000F630A"/>
    <w:rsid w:val="000F6440"/>
    <w:rsid w:val="000F66A0"/>
    <w:rsid w:val="000F679E"/>
    <w:rsid w:val="000F67F0"/>
    <w:rsid w:val="000F681A"/>
    <w:rsid w:val="000F6B44"/>
    <w:rsid w:val="000F6DF9"/>
    <w:rsid w:val="000F6F0A"/>
    <w:rsid w:val="000F7094"/>
    <w:rsid w:val="000F7201"/>
    <w:rsid w:val="000F7494"/>
    <w:rsid w:val="000F755D"/>
    <w:rsid w:val="000F75D4"/>
    <w:rsid w:val="000F767B"/>
    <w:rsid w:val="000F7821"/>
    <w:rsid w:val="000F7878"/>
    <w:rsid w:val="000F79D4"/>
    <w:rsid w:val="000F7A22"/>
    <w:rsid w:val="000F7A6F"/>
    <w:rsid w:val="000F7AE7"/>
    <w:rsid w:val="000F7C03"/>
    <w:rsid w:val="000F7D2F"/>
    <w:rsid w:val="000F7E38"/>
    <w:rsid w:val="001001BE"/>
    <w:rsid w:val="00100251"/>
    <w:rsid w:val="00100257"/>
    <w:rsid w:val="001002A0"/>
    <w:rsid w:val="001003B1"/>
    <w:rsid w:val="00100638"/>
    <w:rsid w:val="001006D0"/>
    <w:rsid w:val="001006D5"/>
    <w:rsid w:val="001006EA"/>
    <w:rsid w:val="001007B0"/>
    <w:rsid w:val="001007ED"/>
    <w:rsid w:val="00100827"/>
    <w:rsid w:val="00100883"/>
    <w:rsid w:val="00100978"/>
    <w:rsid w:val="00100CA8"/>
    <w:rsid w:val="00100D3B"/>
    <w:rsid w:val="00100D89"/>
    <w:rsid w:val="00100ECA"/>
    <w:rsid w:val="00100F3C"/>
    <w:rsid w:val="00100F74"/>
    <w:rsid w:val="0010101F"/>
    <w:rsid w:val="001011BB"/>
    <w:rsid w:val="001011E4"/>
    <w:rsid w:val="0010148F"/>
    <w:rsid w:val="0010169F"/>
    <w:rsid w:val="001017A5"/>
    <w:rsid w:val="001017D0"/>
    <w:rsid w:val="0010180C"/>
    <w:rsid w:val="00101964"/>
    <w:rsid w:val="00101A4D"/>
    <w:rsid w:val="00101A85"/>
    <w:rsid w:val="00101AA6"/>
    <w:rsid w:val="00101B37"/>
    <w:rsid w:val="00101C2E"/>
    <w:rsid w:val="00101DBB"/>
    <w:rsid w:val="00101EDF"/>
    <w:rsid w:val="00101F1D"/>
    <w:rsid w:val="00101F33"/>
    <w:rsid w:val="00101F66"/>
    <w:rsid w:val="00101F9B"/>
    <w:rsid w:val="00101FBA"/>
    <w:rsid w:val="00102109"/>
    <w:rsid w:val="001021DB"/>
    <w:rsid w:val="00102503"/>
    <w:rsid w:val="001025B4"/>
    <w:rsid w:val="001025E1"/>
    <w:rsid w:val="0010266B"/>
    <w:rsid w:val="00102AB2"/>
    <w:rsid w:val="00102AD6"/>
    <w:rsid w:val="00102B1F"/>
    <w:rsid w:val="00102B6A"/>
    <w:rsid w:val="00102B72"/>
    <w:rsid w:val="00102B8F"/>
    <w:rsid w:val="00102C29"/>
    <w:rsid w:val="00102DE4"/>
    <w:rsid w:val="00102FE6"/>
    <w:rsid w:val="001032AA"/>
    <w:rsid w:val="00103377"/>
    <w:rsid w:val="001034B0"/>
    <w:rsid w:val="00103629"/>
    <w:rsid w:val="0010366B"/>
    <w:rsid w:val="00103697"/>
    <w:rsid w:val="00103774"/>
    <w:rsid w:val="00103893"/>
    <w:rsid w:val="0010390A"/>
    <w:rsid w:val="00103961"/>
    <w:rsid w:val="00103A1E"/>
    <w:rsid w:val="00103A5D"/>
    <w:rsid w:val="00103AA8"/>
    <w:rsid w:val="00103B1D"/>
    <w:rsid w:val="00103B43"/>
    <w:rsid w:val="00103B7F"/>
    <w:rsid w:val="00103DB5"/>
    <w:rsid w:val="00103DBF"/>
    <w:rsid w:val="00103F16"/>
    <w:rsid w:val="0010410D"/>
    <w:rsid w:val="001041AA"/>
    <w:rsid w:val="0010423F"/>
    <w:rsid w:val="001042DF"/>
    <w:rsid w:val="001044BD"/>
    <w:rsid w:val="00104723"/>
    <w:rsid w:val="001047A4"/>
    <w:rsid w:val="00104C94"/>
    <w:rsid w:val="00104CAB"/>
    <w:rsid w:val="00104DE7"/>
    <w:rsid w:val="00104EE1"/>
    <w:rsid w:val="00104F2F"/>
    <w:rsid w:val="00104FDE"/>
    <w:rsid w:val="001050C6"/>
    <w:rsid w:val="00105128"/>
    <w:rsid w:val="00105159"/>
    <w:rsid w:val="001053B3"/>
    <w:rsid w:val="001053DD"/>
    <w:rsid w:val="001055B0"/>
    <w:rsid w:val="00105847"/>
    <w:rsid w:val="00105A3E"/>
    <w:rsid w:val="00105AFB"/>
    <w:rsid w:val="00105CEA"/>
    <w:rsid w:val="00105D2A"/>
    <w:rsid w:val="00105DFD"/>
    <w:rsid w:val="00105ED3"/>
    <w:rsid w:val="00105F70"/>
    <w:rsid w:val="00105FA4"/>
    <w:rsid w:val="00106182"/>
    <w:rsid w:val="0010618D"/>
    <w:rsid w:val="001061C4"/>
    <w:rsid w:val="00106255"/>
    <w:rsid w:val="0010635F"/>
    <w:rsid w:val="0010642F"/>
    <w:rsid w:val="0010649B"/>
    <w:rsid w:val="00106595"/>
    <w:rsid w:val="0010690F"/>
    <w:rsid w:val="0010691E"/>
    <w:rsid w:val="00106A2C"/>
    <w:rsid w:val="00106D24"/>
    <w:rsid w:val="00106DA4"/>
    <w:rsid w:val="00106DAB"/>
    <w:rsid w:val="00106DBF"/>
    <w:rsid w:val="00106E1B"/>
    <w:rsid w:val="0010719F"/>
    <w:rsid w:val="00107454"/>
    <w:rsid w:val="001075F0"/>
    <w:rsid w:val="00107677"/>
    <w:rsid w:val="001076EA"/>
    <w:rsid w:val="00107859"/>
    <w:rsid w:val="00107918"/>
    <w:rsid w:val="00107CB3"/>
    <w:rsid w:val="00107EDC"/>
    <w:rsid w:val="001101CE"/>
    <w:rsid w:val="00110279"/>
    <w:rsid w:val="001103B7"/>
    <w:rsid w:val="0011049B"/>
    <w:rsid w:val="001106B1"/>
    <w:rsid w:val="0011075F"/>
    <w:rsid w:val="0011081A"/>
    <w:rsid w:val="001109BC"/>
    <w:rsid w:val="00110A32"/>
    <w:rsid w:val="00110C53"/>
    <w:rsid w:val="00110CB4"/>
    <w:rsid w:val="00110EB7"/>
    <w:rsid w:val="00110FEA"/>
    <w:rsid w:val="00111279"/>
    <w:rsid w:val="001112A1"/>
    <w:rsid w:val="00111467"/>
    <w:rsid w:val="001116F2"/>
    <w:rsid w:val="001118C9"/>
    <w:rsid w:val="00111989"/>
    <w:rsid w:val="00111A89"/>
    <w:rsid w:val="00111BB1"/>
    <w:rsid w:val="00111C04"/>
    <w:rsid w:val="00111EB9"/>
    <w:rsid w:val="00111F93"/>
    <w:rsid w:val="00111FDE"/>
    <w:rsid w:val="00112530"/>
    <w:rsid w:val="00112582"/>
    <w:rsid w:val="001125EE"/>
    <w:rsid w:val="001128BF"/>
    <w:rsid w:val="0011295F"/>
    <w:rsid w:val="00112A12"/>
    <w:rsid w:val="00112A9E"/>
    <w:rsid w:val="00112C4B"/>
    <w:rsid w:val="00112EC9"/>
    <w:rsid w:val="00112EE5"/>
    <w:rsid w:val="001130EA"/>
    <w:rsid w:val="00113183"/>
    <w:rsid w:val="00113218"/>
    <w:rsid w:val="00113367"/>
    <w:rsid w:val="0011337E"/>
    <w:rsid w:val="00113427"/>
    <w:rsid w:val="001134B1"/>
    <w:rsid w:val="00113718"/>
    <w:rsid w:val="00113869"/>
    <w:rsid w:val="0011396C"/>
    <w:rsid w:val="001139D3"/>
    <w:rsid w:val="001139F2"/>
    <w:rsid w:val="001139F5"/>
    <w:rsid w:val="00113A6C"/>
    <w:rsid w:val="00113BC1"/>
    <w:rsid w:val="00113CD7"/>
    <w:rsid w:val="00113F27"/>
    <w:rsid w:val="00114068"/>
    <w:rsid w:val="0011424D"/>
    <w:rsid w:val="0011425B"/>
    <w:rsid w:val="001142F0"/>
    <w:rsid w:val="001144E2"/>
    <w:rsid w:val="00114536"/>
    <w:rsid w:val="00114566"/>
    <w:rsid w:val="0011464A"/>
    <w:rsid w:val="00114729"/>
    <w:rsid w:val="001147A9"/>
    <w:rsid w:val="001147B1"/>
    <w:rsid w:val="0011485F"/>
    <w:rsid w:val="00114A81"/>
    <w:rsid w:val="00114BB3"/>
    <w:rsid w:val="00114C15"/>
    <w:rsid w:val="00114CE6"/>
    <w:rsid w:val="00114E80"/>
    <w:rsid w:val="0011501D"/>
    <w:rsid w:val="001150DD"/>
    <w:rsid w:val="00115148"/>
    <w:rsid w:val="001152CB"/>
    <w:rsid w:val="00115823"/>
    <w:rsid w:val="001158E8"/>
    <w:rsid w:val="00115AD4"/>
    <w:rsid w:val="00115BCB"/>
    <w:rsid w:val="00115CB7"/>
    <w:rsid w:val="00115D20"/>
    <w:rsid w:val="00115E74"/>
    <w:rsid w:val="00115F0B"/>
    <w:rsid w:val="00115F8C"/>
    <w:rsid w:val="001162D5"/>
    <w:rsid w:val="001163E8"/>
    <w:rsid w:val="0011646A"/>
    <w:rsid w:val="00116496"/>
    <w:rsid w:val="001166CD"/>
    <w:rsid w:val="001166DA"/>
    <w:rsid w:val="00116745"/>
    <w:rsid w:val="00116768"/>
    <w:rsid w:val="00116804"/>
    <w:rsid w:val="0011682A"/>
    <w:rsid w:val="0011693C"/>
    <w:rsid w:val="001169AB"/>
    <w:rsid w:val="00116A7A"/>
    <w:rsid w:val="00116AB3"/>
    <w:rsid w:val="00116DE9"/>
    <w:rsid w:val="00116F46"/>
    <w:rsid w:val="00116F9C"/>
    <w:rsid w:val="0011712E"/>
    <w:rsid w:val="001171CA"/>
    <w:rsid w:val="001171D1"/>
    <w:rsid w:val="0011742C"/>
    <w:rsid w:val="001174C9"/>
    <w:rsid w:val="00117548"/>
    <w:rsid w:val="001175D0"/>
    <w:rsid w:val="001176A0"/>
    <w:rsid w:val="00117A8F"/>
    <w:rsid w:val="00117AB4"/>
    <w:rsid w:val="00117B6A"/>
    <w:rsid w:val="0012013C"/>
    <w:rsid w:val="0012015D"/>
    <w:rsid w:val="001202A1"/>
    <w:rsid w:val="001202EF"/>
    <w:rsid w:val="00120598"/>
    <w:rsid w:val="001206A1"/>
    <w:rsid w:val="001208B0"/>
    <w:rsid w:val="00120929"/>
    <w:rsid w:val="00120B10"/>
    <w:rsid w:val="00120BEA"/>
    <w:rsid w:val="00120E10"/>
    <w:rsid w:val="00120F43"/>
    <w:rsid w:val="00120F51"/>
    <w:rsid w:val="00121180"/>
    <w:rsid w:val="00121385"/>
    <w:rsid w:val="0012144A"/>
    <w:rsid w:val="00121A43"/>
    <w:rsid w:val="00121AAF"/>
    <w:rsid w:val="00121BAC"/>
    <w:rsid w:val="00121D24"/>
    <w:rsid w:val="00121DC1"/>
    <w:rsid w:val="00121E11"/>
    <w:rsid w:val="00121F3D"/>
    <w:rsid w:val="0012219D"/>
    <w:rsid w:val="001221A1"/>
    <w:rsid w:val="00122304"/>
    <w:rsid w:val="00122549"/>
    <w:rsid w:val="001227BF"/>
    <w:rsid w:val="00122933"/>
    <w:rsid w:val="00122978"/>
    <w:rsid w:val="00122A66"/>
    <w:rsid w:val="00122D1D"/>
    <w:rsid w:val="00122E7A"/>
    <w:rsid w:val="00122E8E"/>
    <w:rsid w:val="00122F99"/>
    <w:rsid w:val="00122FB0"/>
    <w:rsid w:val="00123150"/>
    <w:rsid w:val="00123262"/>
    <w:rsid w:val="00123290"/>
    <w:rsid w:val="001234C3"/>
    <w:rsid w:val="001234E8"/>
    <w:rsid w:val="0012359B"/>
    <w:rsid w:val="001235E8"/>
    <w:rsid w:val="0012364F"/>
    <w:rsid w:val="001239EA"/>
    <w:rsid w:val="00123A0E"/>
    <w:rsid w:val="00123A24"/>
    <w:rsid w:val="00123B18"/>
    <w:rsid w:val="00123B30"/>
    <w:rsid w:val="00123C6A"/>
    <w:rsid w:val="00123D34"/>
    <w:rsid w:val="00123EA4"/>
    <w:rsid w:val="001242BE"/>
    <w:rsid w:val="00124469"/>
    <w:rsid w:val="00124518"/>
    <w:rsid w:val="00124585"/>
    <w:rsid w:val="0012471D"/>
    <w:rsid w:val="00124847"/>
    <w:rsid w:val="001249D0"/>
    <w:rsid w:val="00124A9D"/>
    <w:rsid w:val="00124DA7"/>
    <w:rsid w:val="00124DC8"/>
    <w:rsid w:val="00124F42"/>
    <w:rsid w:val="00124FDE"/>
    <w:rsid w:val="00125124"/>
    <w:rsid w:val="001251C5"/>
    <w:rsid w:val="0012520C"/>
    <w:rsid w:val="00125288"/>
    <w:rsid w:val="00125752"/>
    <w:rsid w:val="001258D0"/>
    <w:rsid w:val="00125909"/>
    <w:rsid w:val="00125AD1"/>
    <w:rsid w:val="00125BB7"/>
    <w:rsid w:val="00125DDB"/>
    <w:rsid w:val="00125DF1"/>
    <w:rsid w:val="00125E5E"/>
    <w:rsid w:val="001261B6"/>
    <w:rsid w:val="001261F0"/>
    <w:rsid w:val="001262D6"/>
    <w:rsid w:val="0012633C"/>
    <w:rsid w:val="00126611"/>
    <w:rsid w:val="00126656"/>
    <w:rsid w:val="00126820"/>
    <w:rsid w:val="001268BE"/>
    <w:rsid w:val="0012692C"/>
    <w:rsid w:val="00126948"/>
    <w:rsid w:val="00126951"/>
    <w:rsid w:val="00126A0C"/>
    <w:rsid w:val="00126BB0"/>
    <w:rsid w:val="00126CC8"/>
    <w:rsid w:val="00126DEC"/>
    <w:rsid w:val="00126E6E"/>
    <w:rsid w:val="00126FBF"/>
    <w:rsid w:val="001270D2"/>
    <w:rsid w:val="001270F4"/>
    <w:rsid w:val="001273FF"/>
    <w:rsid w:val="00127674"/>
    <w:rsid w:val="00127826"/>
    <w:rsid w:val="00127885"/>
    <w:rsid w:val="00127AB5"/>
    <w:rsid w:val="00127CFB"/>
    <w:rsid w:val="00127D39"/>
    <w:rsid w:val="00127D3D"/>
    <w:rsid w:val="00127E00"/>
    <w:rsid w:val="001302FF"/>
    <w:rsid w:val="00130477"/>
    <w:rsid w:val="0013050C"/>
    <w:rsid w:val="0013054D"/>
    <w:rsid w:val="001306AA"/>
    <w:rsid w:val="00130725"/>
    <w:rsid w:val="001307FE"/>
    <w:rsid w:val="00130A7E"/>
    <w:rsid w:val="00130B74"/>
    <w:rsid w:val="00130BB0"/>
    <w:rsid w:val="00130C90"/>
    <w:rsid w:val="00130CA7"/>
    <w:rsid w:val="00130DBB"/>
    <w:rsid w:val="00130F50"/>
    <w:rsid w:val="00130F83"/>
    <w:rsid w:val="001310BD"/>
    <w:rsid w:val="001310FA"/>
    <w:rsid w:val="001312EB"/>
    <w:rsid w:val="00131300"/>
    <w:rsid w:val="00131326"/>
    <w:rsid w:val="001316BA"/>
    <w:rsid w:val="0013184E"/>
    <w:rsid w:val="00131922"/>
    <w:rsid w:val="00131A24"/>
    <w:rsid w:val="00131D07"/>
    <w:rsid w:val="00131F5C"/>
    <w:rsid w:val="00131F61"/>
    <w:rsid w:val="001320AC"/>
    <w:rsid w:val="001320B5"/>
    <w:rsid w:val="001321F0"/>
    <w:rsid w:val="0013220E"/>
    <w:rsid w:val="00132276"/>
    <w:rsid w:val="00132298"/>
    <w:rsid w:val="00132333"/>
    <w:rsid w:val="001324EE"/>
    <w:rsid w:val="00132585"/>
    <w:rsid w:val="001325FD"/>
    <w:rsid w:val="00132C5A"/>
    <w:rsid w:val="00132E45"/>
    <w:rsid w:val="00132EBC"/>
    <w:rsid w:val="00132EFC"/>
    <w:rsid w:val="00132F36"/>
    <w:rsid w:val="00133002"/>
    <w:rsid w:val="00133005"/>
    <w:rsid w:val="0013309E"/>
    <w:rsid w:val="001330E3"/>
    <w:rsid w:val="0013315F"/>
    <w:rsid w:val="001331FD"/>
    <w:rsid w:val="00133345"/>
    <w:rsid w:val="00133854"/>
    <w:rsid w:val="00133923"/>
    <w:rsid w:val="00133ADC"/>
    <w:rsid w:val="00133CD2"/>
    <w:rsid w:val="00133CDA"/>
    <w:rsid w:val="00133FCB"/>
    <w:rsid w:val="00134085"/>
    <w:rsid w:val="00134125"/>
    <w:rsid w:val="00134165"/>
    <w:rsid w:val="001341EF"/>
    <w:rsid w:val="001341F3"/>
    <w:rsid w:val="00134430"/>
    <w:rsid w:val="00134514"/>
    <w:rsid w:val="0013453A"/>
    <w:rsid w:val="001346BB"/>
    <w:rsid w:val="0013488F"/>
    <w:rsid w:val="00134CA3"/>
    <w:rsid w:val="00134D09"/>
    <w:rsid w:val="00134E14"/>
    <w:rsid w:val="00134E54"/>
    <w:rsid w:val="00134F93"/>
    <w:rsid w:val="00134F9A"/>
    <w:rsid w:val="00134FA0"/>
    <w:rsid w:val="00135082"/>
    <w:rsid w:val="00135222"/>
    <w:rsid w:val="00135243"/>
    <w:rsid w:val="00135292"/>
    <w:rsid w:val="001352AD"/>
    <w:rsid w:val="00135387"/>
    <w:rsid w:val="001353DC"/>
    <w:rsid w:val="0013554D"/>
    <w:rsid w:val="00135615"/>
    <w:rsid w:val="0013581B"/>
    <w:rsid w:val="00135843"/>
    <w:rsid w:val="0013588D"/>
    <w:rsid w:val="001358C1"/>
    <w:rsid w:val="00135961"/>
    <w:rsid w:val="001359EC"/>
    <w:rsid w:val="00135B9E"/>
    <w:rsid w:val="00135BFD"/>
    <w:rsid w:val="00135EE9"/>
    <w:rsid w:val="00135F57"/>
    <w:rsid w:val="00135FA3"/>
    <w:rsid w:val="00135FA6"/>
    <w:rsid w:val="00135FD8"/>
    <w:rsid w:val="0013600C"/>
    <w:rsid w:val="001362FC"/>
    <w:rsid w:val="00136310"/>
    <w:rsid w:val="00136382"/>
    <w:rsid w:val="00136393"/>
    <w:rsid w:val="001363AF"/>
    <w:rsid w:val="00136675"/>
    <w:rsid w:val="0013672F"/>
    <w:rsid w:val="001367A5"/>
    <w:rsid w:val="00136804"/>
    <w:rsid w:val="00136896"/>
    <w:rsid w:val="0013698A"/>
    <w:rsid w:val="001369C8"/>
    <w:rsid w:val="00136C4D"/>
    <w:rsid w:val="00136C56"/>
    <w:rsid w:val="00136CEA"/>
    <w:rsid w:val="00136E05"/>
    <w:rsid w:val="00136FD1"/>
    <w:rsid w:val="00137049"/>
    <w:rsid w:val="0013706F"/>
    <w:rsid w:val="001370A5"/>
    <w:rsid w:val="00137244"/>
    <w:rsid w:val="001372A6"/>
    <w:rsid w:val="00137367"/>
    <w:rsid w:val="001373F1"/>
    <w:rsid w:val="001374A5"/>
    <w:rsid w:val="00137507"/>
    <w:rsid w:val="00137519"/>
    <w:rsid w:val="001375DB"/>
    <w:rsid w:val="001376B3"/>
    <w:rsid w:val="00137794"/>
    <w:rsid w:val="001377C4"/>
    <w:rsid w:val="00137804"/>
    <w:rsid w:val="00137923"/>
    <w:rsid w:val="00137B39"/>
    <w:rsid w:val="00137CC5"/>
    <w:rsid w:val="001400CD"/>
    <w:rsid w:val="0014023F"/>
    <w:rsid w:val="001403D8"/>
    <w:rsid w:val="001404FB"/>
    <w:rsid w:val="001405F4"/>
    <w:rsid w:val="00140822"/>
    <w:rsid w:val="001409D3"/>
    <w:rsid w:val="001409E6"/>
    <w:rsid w:val="00140AE7"/>
    <w:rsid w:val="00140D34"/>
    <w:rsid w:val="00140D95"/>
    <w:rsid w:val="00140EBB"/>
    <w:rsid w:val="00141031"/>
    <w:rsid w:val="0014120C"/>
    <w:rsid w:val="00141292"/>
    <w:rsid w:val="001412D6"/>
    <w:rsid w:val="001412FD"/>
    <w:rsid w:val="00141314"/>
    <w:rsid w:val="001413CA"/>
    <w:rsid w:val="001413EF"/>
    <w:rsid w:val="0014176D"/>
    <w:rsid w:val="001417EC"/>
    <w:rsid w:val="00141897"/>
    <w:rsid w:val="00141AAE"/>
    <w:rsid w:val="00141B36"/>
    <w:rsid w:val="00141BA5"/>
    <w:rsid w:val="00141CA9"/>
    <w:rsid w:val="00141EBB"/>
    <w:rsid w:val="00141EFE"/>
    <w:rsid w:val="001421ED"/>
    <w:rsid w:val="001424A8"/>
    <w:rsid w:val="001425CA"/>
    <w:rsid w:val="001426D2"/>
    <w:rsid w:val="00142769"/>
    <w:rsid w:val="001428F0"/>
    <w:rsid w:val="00142948"/>
    <w:rsid w:val="0014299B"/>
    <w:rsid w:val="00142A35"/>
    <w:rsid w:val="00142ACC"/>
    <w:rsid w:val="00142AF4"/>
    <w:rsid w:val="00142CCB"/>
    <w:rsid w:val="00142F2D"/>
    <w:rsid w:val="00143250"/>
    <w:rsid w:val="00143362"/>
    <w:rsid w:val="001433C0"/>
    <w:rsid w:val="001434B3"/>
    <w:rsid w:val="001435C4"/>
    <w:rsid w:val="0014372F"/>
    <w:rsid w:val="00143822"/>
    <w:rsid w:val="001439A8"/>
    <w:rsid w:val="00143A45"/>
    <w:rsid w:val="00143AD6"/>
    <w:rsid w:val="00143CFC"/>
    <w:rsid w:val="00143EAD"/>
    <w:rsid w:val="00143F43"/>
    <w:rsid w:val="00143F63"/>
    <w:rsid w:val="00144146"/>
    <w:rsid w:val="001441CA"/>
    <w:rsid w:val="00144314"/>
    <w:rsid w:val="00144349"/>
    <w:rsid w:val="00144470"/>
    <w:rsid w:val="00144822"/>
    <w:rsid w:val="001448DA"/>
    <w:rsid w:val="00144A20"/>
    <w:rsid w:val="00144A30"/>
    <w:rsid w:val="00144AC8"/>
    <w:rsid w:val="00144AE7"/>
    <w:rsid w:val="00144B37"/>
    <w:rsid w:val="00144B71"/>
    <w:rsid w:val="00144C33"/>
    <w:rsid w:val="00144D85"/>
    <w:rsid w:val="00144DBC"/>
    <w:rsid w:val="00145027"/>
    <w:rsid w:val="00145163"/>
    <w:rsid w:val="001451EC"/>
    <w:rsid w:val="00145238"/>
    <w:rsid w:val="00145315"/>
    <w:rsid w:val="00145323"/>
    <w:rsid w:val="00145366"/>
    <w:rsid w:val="001455AA"/>
    <w:rsid w:val="001455F9"/>
    <w:rsid w:val="001456AF"/>
    <w:rsid w:val="001456D7"/>
    <w:rsid w:val="001457E6"/>
    <w:rsid w:val="00145815"/>
    <w:rsid w:val="001458AE"/>
    <w:rsid w:val="00145A29"/>
    <w:rsid w:val="00145B6D"/>
    <w:rsid w:val="00145BEE"/>
    <w:rsid w:val="00145BF8"/>
    <w:rsid w:val="00145C0F"/>
    <w:rsid w:val="00145D0B"/>
    <w:rsid w:val="00145D51"/>
    <w:rsid w:val="00145DE9"/>
    <w:rsid w:val="00145E84"/>
    <w:rsid w:val="00145F9F"/>
    <w:rsid w:val="0014631B"/>
    <w:rsid w:val="001463D1"/>
    <w:rsid w:val="001464F5"/>
    <w:rsid w:val="0014654B"/>
    <w:rsid w:val="001465EA"/>
    <w:rsid w:val="0014665A"/>
    <w:rsid w:val="00146678"/>
    <w:rsid w:val="00146774"/>
    <w:rsid w:val="00146B60"/>
    <w:rsid w:val="00146B90"/>
    <w:rsid w:val="00146C6B"/>
    <w:rsid w:val="00146C7B"/>
    <w:rsid w:val="001471BE"/>
    <w:rsid w:val="0014722D"/>
    <w:rsid w:val="001474E1"/>
    <w:rsid w:val="001475AA"/>
    <w:rsid w:val="001477D2"/>
    <w:rsid w:val="00147864"/>
    <w:rsid w:val="001479A0"/>
    <w:rsid w:val="00147AED"/>
    <w:rsid w:val="00147AF9"/>
    <w:rsid w:val="00147B3B"/>
    <w:rsid w:val="00147B51"/>
    <w:rsid w:val="00147BD0"/>
    <w:rsid w:val="00147C3B"/>
    <w:rsid w:val="00147C64"/>
    <w:rsid w:val="00147DB1"/>
    <w:rsid w:val="00147ECE"/>
    <w:rsid w:val="00150459"/>
    <w:rsid w:val="00150490"/>
    <w:rsid w:val="0015053C"/>
    <w:rsid w:val="00150547"/>
    <w:rsid w:val="0015059B"/>
    <w:rsid w:val="001505AF"/>
    <w:rsid w:val="00150613"/>
    <w:rsid w:val="0015072C"/>
    <w:rsid w:val="00150861"/>
    <w:rsid w:val="001509CA"/>
    <w:rsid w:val="001509F9"/>
    <w:rsid w:val="00150B54"/>
    <w:rsid w:val="00150B5F"/>
    <w:rsid w:val="00150B7A"/>
    <w:rsid w:val="00150C5B"/>
    <w:rsid w:val="00150D41"/>
    <w:rsid w:val="00150DDA"/>
    <w:rsid w:val="00150E22"/>
    <w:rsid w:val="00150E57"/>
    <w:rsid w:val="00150EDC"/>
    <w:rsid w:val="00150F17"/>
    <w:rsid w:val="00150F78"/>
    <w:rsid w:val="00150F8E"/>
    <w:rsid w:val="0015150E"/>
    <w:rsid w:val="00151521"/>
    <w:rsid w:val="001515B7"/>
    <w:rsid w:val="00151650"/>
    <w:rsid w:val="0015166F"/>
    <w:rsid w:val="00151738"/>
    <w:rsid w:val="001518BD"/>
    <w:rsid w:val="001519A2"/>
    <w:rsid w:val="00151BA6"/>
    <w:rsid w:val="00151C11"/>
    <w:rsid w:val="00151DAD"/>
    <w:rsid w:val="00151EE8"/>
    <w:rsid w:val="00151F3B"/>
    <w:rsid w:val="00151FC0"/>
    <w:rsid w:val="0015201C"/>
    <w:rsid w:val="00152179"/>
    <w:rsid w:val="00152241"/>
    <w:rsid w:val="00152486"/>
    <w:rsid w:val="00152594"/>
    <w:rsid w:val="001525A2"/>
    <w:rsid w:val="00152611"/>
    <w:rsid w:val="00152765"/>
    <w:rsid w:val="001529AE"/>
    <w:rsid w:val="00152B67"/>
    <w:rsid w:val="00152BAD"/>
    <w:rsid w:val="00152D81"/>
    <w:rsid w:val="00152FB0"/>
    <w:rsid w:val="0015302E"/>
    <w:rsid w:val="001530CA"/>
    <w:rsid w:val="001530CF"/>
    <w:rsid w:val="0015312D"/>
    <w:rsid w:val="00153341"/>
    <w:rsid w:val="0015365F"/>
    <w:rsid w:val="00153670"/>
    <w:rsid w:val="00153675"/>
    <w:rsid w:val="001537AB"/>
    <w:rsid w:val="0015384C"/>
    <w:rsid w:val="00153895"/>
    <w:rsid w:val="001538B0"/>
    <w:rsid w:val="001539CA"/>
    <w:rsid w:val="001539E4"/>
    <w:rsid w:val="00153AA2"/>
    <w:rsid w:val="00153CFE"/>
    <w:rsid w:val="00153D44"/>
    <w:rsid w:val="00153DA2"/>
    <w:rsid w:val="00153DEA"/>
    <w:rsid w:val="00153FBA"/>
    <w:rsid w:val="0015409B"/>
    <w:rsid w:val="001540A6"/>
    <w:rsid w:val="001540BB"/>
    <w:rsid w:val="00154570"/>
    <w:rsid w:val="001545F1"/>
    <w:rsid w:val="00154643"/>
    <w:rsid w:val="00154700"/>
    <w:rsid w:val="001547B5"/>
    <w:rsid w:val="0015497C"/>
    <w:rsid w:val="00154AA6"/>
    <w:rsid w:val="00154B02"/>
    <w:rsid w:val="00154B40"/>
    <w:rsid w:val="00154C39"/>
    <w:rsid w:val="00154C5C"/>
    <w:rsid w:val="00154C61"/>
    <w:rsid w:val="00154D8D"/>
    <w:rsid w:val="00154EB4"/>
    <w:rsid w:val="00155013"/>
    <w:rsid w:val="00155338"/>
    <w:rsid w:val="001558A8"/>
    <w:rsid w:val="00155967"/>
    <w:rsid w:val="00155C4B"/>
    <w:rsid w:val="00155C7C"/>
    <w:rsid w:val="00155CB1"/>
    <w:rsid w:val="00155CD4"/>
    <w:rsid w:val="00155CFC"/>
    <w:rsid w:val="00155F59"/>
    <w:rsid w:val="00156026"/>
    <w:rsid w:val="0015605A"/>
    <w:rsid w:val="0015609E"/>
    <w:rsid w:val="001562A9"/>
    <w:rsid w:val="00156497"/>
    <w:rsid w:val="001564F8"/>
    <w:rsid w:val="001567D5"/>
    <w:rsid w:val="00156952"/>
    <w:rsid w:val="00156D46"/>
    <w:rsid w:val="00156EB4"/>
    <w:rsid w:val="00156ECC"/>
    <w:rsid w:val="001572A8"/>
    <w:rsid w:val="0015748F"/>
    <w:rsid w:val="001575F9"/>
    <w:rsid w:val="00157640"/>
    <w:rsid w:val="001577A6"/>
    <w:rsid w:val="001577D8"/>
    <w:rsid w:val="001578AB"/>
    <w:rsid w:val="00157A21"/>
    <w:rsid w:val="00157ADC"/>
    <w:rsid w:val="00157B91"/>
    <w:rsid w:val="00157D56"/>
    <w:rsid w:val="00157DF7"/>
    <w:rsid w:val="00157F4F"/>
    <w:rsid w:val="001601EB"/>
    <w:rsid w:val="0016029F"/>
    <w:rsid w:val="001603F1"/>
    <w:rsid w:val="00160545"/>
    <w:rsid w:val="00160837"/>
    <w:rsid w:val="0016083D"/>
    <w:rsid w:val="001608C6"/>
    <w:rsid w:val="0016090E"/>
    <w:rsid w:val="00160A17"/>
    <w:rsid w:val="00160BAD"/>
    <w:rsid w:val="00160F9C"/>
    <w:rsid w:val="001610AB"/>
    <w:rsid w:val="001611AC"/>
    <w:rsid w:val="00161334"/>
    <w:rsid w:val="00161358"/>
    <w:rsid w:val="0016137F"/>
    <w:rsid w:val="001614A7"/>
    <w:rsid w:val="001614DF"/>
    <w:rsid w:val="00161863"/>
    <w:rsid w:val="0016188F"/>
    <w:rsid w:val="001618F8"/>
    <w:rsid w:val="00161B7F"/>
    <w:rsid w:val="00161BF7"/>
    <w:rsid w:val="00161CF5"/>
    <w:rsid w:val="00161EEC"/>
    <w:rsid w:val="00161F1C"/>
    <w:rsid w:val="0016224A"/>
    <w:rsid w:val="00162272"/>
    <w:rsid w:val="00162337"/>
    <w:rsid w:val="00162374"/>
    <w:rsid w:val="00162523"/>
    <w:rsid w:val="001626B9"/>
    <w:rsid w:val="00162814"/>
    <w:rsid w:val="001628FA"/>
    <w:rsid w:val="0016295C"/>
    <w:rsid w:val="00162B4F"/>
    <w:rsid w:val="00162C4E"/>
    <w:rsid w:val="00162C70"/>
    <w:rsid w:val="00162CBA"/>
    <w:rsid w:val="00162E80"/>
    <w:rsid w:val="00162F5A"/>
    <w:rsid w:val="0016300C"/>
    <w:rsid w:val="001630E8"/>
    <w:rsid w:val="0016317F"/>
    <w:rsid w:val="001631FB"/>
    <w:rsid w:val="001632DA"/>
    <w:rsid w:val="001634B7"/>
    <w:rsid w:val="001634DE"/>
    <w:rsid w:val="0016352D"/>
    <w:rsid w:val="001635CC"/>
    <w:rsid w:val="00163694"/>
    <w:rsid w:val="00163ACA"/>
    <w:rsid w:val="00163B68"/>
    <w:rsid w:val="001640F8"/>
    <w:rsid w:val="0016425D"/>
    <w:rsid w:val="001642D3"/>
    <w:rsid w:val="001643E0"/>
    <w:rsid w:val="001644B5"/>
    <w:rsid w:val="001644CA"/>
    <w:rsid w:val="001645A2"/>
    <w:rsid w:val="00164706"/>
    <w:rsid w:val="001647B4"/>
    <w:rsid w:val="001649D1"/>
    <w:rsid w:val="00164B99"/>
    <w:rsid w:val="00164C0C"/>
    <w:rsid w:val="00164D68"/>
    <w:rsid w:val="00164F3E"/>
    <w:rsid w:val="00164FEC"/>
    <w:rsid w:val="00164FFF"/>
    <w:rsid w:val="00165039"/>
    <w:rsid w:val="00165086"/>
    <w:rsid w:val="001652A8"/>
    <w:rsid w:val="001653DF"/>
    <w:rsid w:val="00165601"/>
    <w:rsid w:val="00165693"/>
    <w:rsid w:val="001656BC"/>
    <w:rsid w:val="00165B23"/>
    <w:rsid w:val="00165D5E"/>
    <w:rsid w:val="00165F4D"/>
    <w:rsid w:val="00165FE8"/>
    <w:rsid w:val="0016607F"/>
    <w:rsid w:val="001660BE"/>
    <w:rsid w:val="00166293"/>
    <w:rsid w:val="001662CF"/>
    <w:rsid w:val="001663F8"/>
    <w:rsid w:val="001663FE"/>
    <w:rsid w:val="00166671"/>
    <w:rsid w:val="00166688"/>
    <w:rsid w:val="00166AFC"/>
    <w:rsid w:val="00166C11"/>
    <w:rsid w:val="00166C92"/>
    <w:rsid w:val="00166DCE"/>
    <w:rsid w:val="00166E99"/>
    <w:rsid w:val="00166FC3"/>
    <w:rsid w:val="001670B0"/>
    <w:rsid w:val="001670F2"/>
    <w:rsid w:val="001671A6"/>
    <w:rsid w:val="001672EB"/>
    <w:rsid w:val="001672F1"/>
    <w:rsid w:val="00167305"/>
    <w:rsid w:val="00167324"/>
    <w:rsid w:val="001673AF"/>
    <w:rsid w:val="0016748A"/>
    <w:rsid w:val="001674BA"/>
    <w:rsid w:val="0016751E"/>
    <w:rsid w:val="001675C7"/>
    <w:rsid w:val="001676C9"/>
    <w:rsid w:val="0016775C"/>
    <w:rsid w:val="001677B6"/>
    <w:rsid w:val="001679E7"/>
    <w:rsid w:val="001679F3"/>
    <w:rsid w:val="00167ABE"/>
    <w:rsid w:val="00167C2E"/>
    <w:rsid w:val="00167CC0"/>
    <w:rsid w:val="00167CCC"/>
    <w:rsid w:val="00167ED8"/>
    <w:rsid w:val="00167FB0"/>
    <w:rsid w:val="0017014E"/>
    <w:rsid w:val="00170752"/>
    <w:rsid w:val="00170ABD"/>
    <w:rsid w:val="00170BDC"/>
    <w:rsid w:val="00170CA5"/>
    <w:rsid w:val="00170E60"/>
    <w:rsid w:val="001711A4"/>
    <w:rsid w:val="0017129A"/>
    <w:rsid w:val="00171391"/>
    <w:rsid w:val="0017151A"/>
    <w:rsid w:val="0017156F"/>
    <w:rsid w:val="001718E2"/>
    <w:rsid w:val="001719AB"/>
    <w:rsid w:val="001719BE"/>
    <w:rsid w:val="00171A14"/>
    <w:rsid w:val="00171AFE"/>
    <w:rsid w:val="00171B34"/>
    <w:rsid w:val="00171D23"/>
    <w:rsid w:val="00171D87"/>
    <w:rsid w:val="00171DD5"/>
    <w:rsid w:val="00171EB7"/>
    <w:rsid w:val="00171FBE"/>
    <w:rsid w:val="00171FC5"/>
    <w:rsid w:val="0017206A"/>
    <w:rsid w:val="001720E0"/>
    <w:rsid w:val="00172117"/>
    <w:rsid w:val="001721EE"/>
    <w:rsid w:val="00172235"/>
    <w:rsid w:val="0017227E"/>
    <w:rsid w:val="00172286"/>
    <w:rsid w:val="00172367"/>
    <w:rsid w:val="00172445"/>
    <w:rsid w:val="0017250E"/>
    <w:rsid w:val="00172652"/>
    <w:rsid w:val="0017288B"/>
    <w:rsid w:val="00172AC7"/>
    <w:rsid w:val="00172BFC"/>
    <w:rsid w:val="00172C61"/>
    <w:rsid w:val="00172F4B"/>
    <w:rsid w:val="0017308D"/>
    <w:rsid w:val="001731F2"/>
    <w:rsid w:val="00173295"/>
    <w:rsid w:val="00173397"/>
    <w:rsid w:val="001733AB"/>
    <w:rsid w:val="001733E4"/>
    <w:rsid w:val="001733EC"/>
    <w:rsid w:val="00173465"/>
    <w:rsid w:val="001734EA"/>
    <w:rsid w:val="0017361A"/>
    <w:rsid w:val="00173791"/>
    <w:rsid w:val="001737F8"/>
    <w:rsid w:val="00173804"/>
    <w:rsid w:val="00173832"/>
    <w:rsid w:val="001739F7"/>
    <w:rsid w:val="00173A6A"/>
    <w:rsid w:val="00173AB9"/>
    <w:rsid w:val="00173B34"/>
    <w:rsid w:val="00173B8B"/>
    <w:rsid w:val="00173BE8"/>
    <w:rsid w:val="00173C2C"/>
    <w:rsid w:val="00173E9F"/>
    <w:rsid w:val="00173FEB"/>
    <w:rsid w:val="001740C3"/>
    <w:rsid w:val="001742E3"/>
    <w:rsid w:val="0017435B"/>
    <w:rsid w:val="0017447E"/>
    <w:rsid w:val="0017451F"/>
    <w:rsid w:val="001746BD"/>
    <w:rsid w:val="001747FE"/>
    <w:rsid w:val="001748BE"/>
    <w:rsid w:val="001749F9"/>
    <w:rsid w:val="00174AAD"/>
    <w:rsid w:val="00174BBB"/>
    <w:rsid w:val="00174C35"/>
    <w:rsid w:val="00174DA2"/>
    <w:rsid w:val="00174E7D"/>
    <w:rsid w:val="001750AB"/>
    <w:rsid w:val="001750AE"/>
    <w:rsid w:val="00175297"/>
    <w:rsid w:val="001752FF"/>
    <w:rsid w:val="00175321"/>
    <w:rsid w:val="00175463"/>
    <w:rsid w:val="0017553E"/>
    <w:rsid w:val="001757DF"/>
    <w:rsid w:val="0017583F"/>
    <w:rsid w:val="00175884"/>
    <w:rsid w:val="001758C0"/>
    <w:rsid w:val="001759A4"/>
    <w:rsid w:val="00175B7C"/>
    <w:rsid w:val="00175C53"/>
    <w:rsid w:val="00175D08"/>
    <w:rsid w:val="00175D28"/>
    <w:rsid w:val="00175E6E"/>
    <w:rsid w:val="00175EA7"/>
    <w:rsid w:val="00175EBF"/>
    <w:rsid w:val="00175F34"/>
    <w:rsid w:val="00175FD7"/>
    <w:rsid w:val="00176125"/>
    <w:rsid w:val="0017621B"/>
    <w:rsid w:val="00176259"/>
    <w:rsid w:val="00176605"/>
    <w:rsid w:val="00176670"/>
    <w:rsid w:val="00176681"/>
    <w:rsid w:val="001766AD"/>
    <w:rsid w:val="00176711"/>
    <w:rsid w:val="00176802"/>
    <w:rsid w:val="001769DC"/>
    <w:rsid w:val="00176CCB"/>
    <w:rsid w:val="00176D56"/>
    <w:rsid w:val="00176E3D"/>
    <w:rsid w:val="0017709D"/>
    <w:rsid w:val="001770CC"/>
    <w:rsid w:val="001770D5"/>
    <w:rsid w:val="001771D3"/>
    <w:rsid w:val="001772B6"/>
    <w:rsid w:val="00177372"/>
    <w:rsid w:val="001774E3"/>
    <w:rsid w:val="001774F2"/>
    <w:rsid w:val="0017755B"/>
    <w:rsid w:val="0017768E"/>
    <w:rsid w:val="001777FB"/>
    <w:rsid w:val="00177918"/>
    <w:rsid w:val="00177AE0"/>
    <w:rsid w:val="00177CCC"/>
    <w:rsid w:val="00177CDA"/>
    <w:rsid w:val="00177F68"/>
    <w:rsid w:val="00177F94"/>
    <w:rsid w:val="001800C1"/>
    <w:rsid w:val="001801C0"/>
    <w:rsid w:val="001801C5"/>
    <w:rsid w:val="0018034C"/>
    <w:rsid w:val="001803C9"/>
    <w:rsid w:val="001803D9"/>
    <w:rsid w:val="00180446"/>
    <w:rsid w:val="001804B2"/>
    <w:rsid w:val="00180572"/>
    <w:rsid w:val="001805B7"/>
    <w:rsid w:val="001805D8"/>
    <w:rsid w:val="00180A72"/>
    <w:rsid w:val="00180E08"/>
    <w:rsid w:val="00180E3B"/>
    <w:rsid w:val="00180FC8"/>
    <w:rsid w:val="0018101C"/>
    <w:rsid w:val="0018108A"/>
    <w:rsid w:val="001810D1"/>
    <w:rsid w:val="001812A8"/>
    <w:rsid w:val="0018135D"/>
    <w:rsid w:val="001816C8"/>
    <w:rsid w:val="00181707"/>
    <w:rsid w:val="0018172F"/>
    <w:rsid w:val="0018187A"/>
    <w:rsid w:val="00181908"/>
    <w:rsid w:val="001819B6"/>
    <w:rsid w:val="00181A0B"/>
    <w:rsid w:val="00181A10"/>
    <w:rsid w:val="00181A41"/>
    <w:rsid w:val="00181A75"/>
    <w:rsid w:val="00181AA6"/>
    <w:rsid w:val="00181C3A"/>
    <w:rsid w:val="00181CB4"/>
    <w:rsid w:val="00181DF1"/>
    <w:rsid w:val="00181F9E"/>
    <w:rsid w:val="00182038"/>
    <w:rsid w:val="0018204E"/>
    <w:rsid w:val="0018209A"/>
    <w:rsid w:val="001821D0"/>
    <w:rsid w:val="0018221D"/>
    <w:rsid w:val="00182270"/>
    <w:rsid w:val="0018234C"/>
    <w:rsid w:val="001823D2"/>
    <w:rsid w:val="001824AA"/>
    <w:rsid w:val="001824C5"/>
    <w:rsid w:val="0018252A"/>
    <w:rsid w:val="00182578"/>
    <w:rsid w:val="001826FB"/>
    <w:rsid w:val="00182927"/>
    <w:rsid w:val="00182AA1"/>
    <w:rsid w:val="00182B2D"/>
    <w:rsid w:val="00182B4B"/>
    <w:rsid w:val="00182B58"/>
    <w:rsid w:val="00182C96"/>
    <w:rsid w:val="00182D5C"/>
    <w:rsid w:val="00182DB3"/>
    <w:rsid w:val="00182E07"/>
    <w:rsid w:val="00182F09"/>
    <w:rsid w:val="0018302C"/>
    <w:rsid w:val="001830AF"/>
    <w:rsid w:val="001830E5"/>
    <w:rsid w:val="001830E6"/>
    <w:rsid w:val="001831AE"/>
    <w:rsid w:val="00183210"/>
    <w:rsid w:val="0018328B"/>
    <w:rsid w:val="0018335A"/>
    <w:rsid w:val="001833C0"/>
    <w:rsid w:val="001834AF"/>
    <w:rsid w:val="0018356B"/>
    <w:rsid w:val="00183768"/>
    <w:rsid w:val="001837F6"/>
    <w:rsid w:val="001839D7"/>
    <w:rsid w:val="00183B29"/>
    <w:rsid w:val="00183B38"/>
    <w:rsid w:val="00183BEA"/>
    <w:rsid w:val="00183C43"/>
    <w:rsid w:val="00183C88"/>
    <w:rsid w:val="00183FBD"/>
    <w:rsid w:val="001841F8"/>
    <w:rsid w:val="0018439C"/>
    <w:rsid w:val="001843FD"/>
    <w:rsid w:val="00184414"/>
    <w:rsid w:val="00184474"/>
    <w:rsid w:val="0018462C"/>
    <w:rsid w:val="001846DA"/>
    <w:rsid w:val="00184706"/>
    <w:rsid w:val="00184871"/>
    <w:rsid w:val="00184AB6"/>
    <w:rsid w:val="00184B00"/>
    <w:rsid w:val="00184C75"/>
    <w:rsid w:val="00184D04"/>
    <w:rsid w:val="00184D0D"/>
    <w:rsid w:val="00184D22"/>
    <w:rsid w:val="001851BC"/>
    <w:rsid w:val="0018525B"/>
    <w:rsid w:val="0018538A"/>
    <w:rsid w:val="0018555E"/>
    <w:rsid w:val="00185663"/>
    <w:rsid w:val="001856A6"/>
    <w:rsid w:val="001856BA"/>
    <w:rsid w:val="0018585B"/>
    <w:rsid w:val="00185A75"/>
    <w:rsid w:val="00185AC9"/>
    <w:rsid w:val="00185BD1"/>
    <w:rsid w:val="00185E6D"/>
    <w:rsid w:val="00185E80"/>
    <w:rsid w:val="00185F09"/>
    <w:rsid w:val="00186129"/>
    <w:rsid w:val="001862EE"/>
    <w:rsid w:val="0018638D"/>
    <w:rsid w:val="00186404"/>
    <w:rsid w:val="00186414"/>
    <w:rsid w:val="00186489"/>
    <w:rsid w:val="001864E6"/>
    <w:rsid w:val="00186561"/>
    <w:rsid w:val="0018666D"/>
    <w:rsid w:val="001866A2"/>
    <w:rsid w:val="001866E3"/>
    <w:rsid w:val="00186788"/>
    <w:rsid w:val="00186A71"/>
    <w:rsid w:val="00186AA6"/>
    <w:rsid w:val="00186C4C"/>
    <w:rsid w:val="00186C67"/>
    <w:rsid w:val="00186E59"/>
    <w:rsid w:val="00186F20"/>
    <w:rsid w:val="0018725A"/>
    <w:rsid w:val="001872F1"/>
    <w:rsid w:val="00187484"/>
    <w:rsid w:val="001875F2"/>
    <w:rsid w:val="0018783A"/>
    <w:rsid w:val="00187BC3"/>
    <w:rsid w:val="00187CF5"/>
    <w:rsid w:val="00187D19"/>
    <w:rsid w:val="00187DF9"/>
    <w:rsid w:val="00187F5E"/>
    <w:rsid w:val="00190219"/>
    <w:rsid w:val="0019026B"/>
    <w:rsid w:val="00190298"/>
    <w:rsid w:val="0019031B"/>
    <w:rsid w:val="00190490"/>
    <w:rsid w:val="0019051E"/>
    <w:rsid w:val="001907D4"/>
    <w:rsid w:val="0019092D"/>
    <w:rsid w:val="00190A62"/>
    <w:rsid w:val="00190AC4"/>
    <w:rsid w:val="00190B44"/>
    <w:rsid w:val="00190B9C"/>
    <w:rsid w:val="00190D51"/>
    <w:rsid w:val="00190D53"/>
    <w:rsid w:val="00190DAC"/>
    <w:rsid w:val="00190F55"/>
    <w:rsid w:val="00191062"/>
    <w:rsid w:val="0019117B"/>
    <w:rsid w:val="0019120D"/>
    <w:rsid w:val="001914EF"/>
    <w:rsid w:val="0019174A"/>
    <w:rsid w:val="0019182B"/>
    <w:rsid w:val="00191950"/>
    <w:rsid w:val="001919A9"/>
    <w:rsid w:val="001919CA"/>
    <w:rsid w:val="001919F9"/>
    <w:rsid w:val="00191A2C"/>
    <w:rsid w:val="00191AF6"/>
    <w:rsid w:val="00191BB2"/>
    <w:rsid w:val="00191C91"/>
    <w:rsid w:val="00191E05"/>
    <w:rsid w:val="00191EB3"/>
    <w:rsid w:val="001920E2"/>
    <w:rsid w:val="001921E9"/>
    <w:rsid w:val="00192443"/>
    <w:rsid w:val="00192744"/>
    <w:rsid w:val="00192883"/>
    <w:rsid w:val="00192BB1"/>
    <w:rsid w:val="00192C5D"/>
    <w:rsid w:val="00192C86"/>
    <w:rsid w:val="00192CD2"/>
    <w:rsid w:val="00192CFC"/>
    <w:rsid w:val="00192D7C"/>
    <w:rsid w:val="00192F9B"/>
    <w:rsid w:val="001930FD"/>
    <w:rsid w:val="00193220"/>
    <w:rsid w:val="00193308"/>
    <w:rsid w:val="00193444"/>
    <w:rsid w:val="0019366B"/>
    <w:rsid w:val="0019386C"/>
    <w:rsid w:val="0019397F"/>
    <w:rsid w:val="0019399C"/>
    <w:rsid w:val="00193B34"/>
    <w:rsid w:val="00193B59"/>
    <w:rsid w:val="00193EE3"/>
    <w:rsid w:val="00194064"/>
    <w:rsid w:val="001941FC"/>
    <w:rsid w:val="00194297"/>
    <w:rsid w:val="001943A2"/>
    <w:rsid w:val="001943F9"/>
    <w:rsid w:val="00194417"/>
    <w:rsid w:val="00194474"/>
    <w:rsid w:val="00194579"/>
    <w:rsid w:val="00194581"/>
    <w:rsid w:val="001945F6"/>
    <w:rsid w:val="0019472A"/>
    <w:rsid w:val="0019481B"/>
    <w:rsid w:val="001949DB"/>
    <w:rsid w:val="00194B11"/>
    <w:rsid w:val="00194B20"/>
    <w:rsid w:val="00194B4F"/>
    <w:rsid w:val="00194BDA"/>
    <w:rsid w:val="00194D8F"/>
    <w:rsid w:val="00194DFD"/>
    <w:rsid w:val="00194E42"/>
    <w:rsid w:val="00194ECC"/>
    <w:rsid w:val="00195051"/>
    <w:rsid w:val="001950BE"/>
    <w:rsid w:val="001952F5"/>
    <w:rsid w:val="001953FE"/>
    <w:rsid w:val="0019543B"/>
    <w:rsid w:val="00195602"/>
    <w:rsid w:val="00195679"/>
    <w:rsid w:val="00195725"/>
    <w:rsid w:val="00195896"/>
    <w:rsid w:val="00195A6D"/>
    <w:rsid w:val="00195B22"/>
    <w:rsid w:val="00195B62"/>
    <w:rsid w:val="00195D08"/>
    <w:rsid w:val="00195D40"/>
    <w:rsid w:val="00195E0F"/>
    <w:rsid w:val="00195EBF"/>
    <w:rsid w:val="00195FD0"/>
    <w:rsid w:val="00196088"/>
    <w:rsid w:val="00196201"/>
    <w:rsid w:val="00196209"/>
    <w:rsid w:val="0019628E"/>
    <w:rsid w:val="001962CF"/>
    <w:rsid w:val="00196310"/>
    <w:rsid w:val="001963D6"/>
    <w:rsid w:val="00196447"/>
    <w:rsid w:val="00196580"/>
    <w:rsid w:val="0019666F"/>
    <w:rsid w:val="001966F9"/>
    <w:rsid w:val="0019677E"/>
    <w:rsid w:val="00196929"/>
    <w:rsid w:val="00196975"/>
    <w:rsid w:val="00196A65"/>
    <w:rsid w:val="00196B62"/>
    <w:rsid w:val="00196BEA"/>
    <w:rsid w:val="00196D9E"/>
    <w:rsid w:val="00196DA5"/>
    <w:rsid w:val="00196E2C"/>
    <w:rsid w:val="00196F05"/>
    <w:rsid w:val="00197018"/>
    <w:rsid w:val="0019725A"/>
    <w:rsid w:val="001973B7"/>
    <w:rsid w:val="00197469"/>
    <w:rsid w:val="0019749E"/>
    <w:rsid w:val="001974F0"/>
    <w:rsid w:val="00197584"/>
    <w:rsid w:val="0019760C"/>
    <w:rsid w:val="0019769D"/>
    <w:rsid w:val="00197705"/>
    <w:rsid w:val="00197725"/>
    <w:rsid w:val="00197D97"/>
    <w:rsid w:val="00197EB5"/>
    <w:rsid w:val="00197F3B"/>
    <w:rsid w:val="001A00B2"/>
    <w:rsid w:val="001A0174"/>
    <w:rsid w:val="001A041D"/>
    <w:rsid w:val="001A072F"/>
    <w:rsid w:val="001A08D5"/>
    <w:rsid w:val="001A0945"/>
    <w:rsid w:val="001A095B"/>
    <w:rsid w:val="001A0B48"/>
    <w:rsid w:val="001A0C74"/>
    <w:rsid w:val="001A0D20"/>
    <w:rsid w:val="001A0E03"/>
    <w:rsid w:val="001A0EBE"/>
    <w:rsid w:val="001A0F85"/>
    <w:rsid w:val="001A0F9B"/>
    <w:rsid w:val="001A0FF7"/>
    <w:rsid w:val="001A1037"/>
    <w:rsid w:val="001A10F9"/>
    <w:rsid w:val="001A1189"/>
    <w:rsid w:val="001A12E2"/>
    <w:rsid w:val="001A1316"/>
    <w:rsid w:val="001A1553"/>
    <w:rsid w:val="001A1574"/>
    <w:rsid w:val="001A16B9"/>
    <w:rsid w:val="001A16F5"/>
    <w:rsid w:val="001A173F"/>
    <w:rsid w:val="001A1795"/>
    <w:rsid w:val="001A18FD"/>
    <w:rsid w:val="001A1B17"/>
    <w:rsid w:val="001A1C3D"/>
    <w:rsid w:val="001A1C7A"/>
    <w:rsid w:val="001A1D9A"/>
    <w:rsid w:val="001A2170"/>
    <w:rsid w:val="001A2271"/>
    <w:rsid w:val="001A23DA"/>
    <w:rsid w:val="001A2467"/>
    <w:rsid w:val="001A250D"/>
    <w:rsid w:val="001A2651"/>
    <w:rsid w:val="001A2689"/>
    <w:rsid w:val="001A2912"/>
    <w:rsid w:val="001A2A81"/>
    <w:rsid w:val="001A2B03"/>
    <w:rsid w:val="001A2B37"/>
    <w:rsid w:val="001A3058"/>
    <w:rsid w:val="001A3129"/>
    <w:rsid w:val="001A3150"/>
    <w:rsid w:val="001A33EC"/>
    <w:rsid w:val="001A3429"/>
    <w:rsid w:val="001A34DF"/>
    <w:rsid w:val="001A39C8"/>
    <w:rsid w:val="001A3D5B"/>
    <w:rsid w:val="001A3F41"/>
    <w:rsid w:val="001A3F6F"/>
    <w:rsid w:val="001A41B0"/>
    <w:rsid w:val="001A4328"/>
    <w:rsid w:val="001A43FA"/>
    <w:rsid w:val="001A474B"/>
    <w:rsid w:val="001A4765"/>
    <w:rsid w:val="001A47A7"/>
    <w:rsid w:val="001A47B6"/>
    <w:rsid w:val="001A47C5"/>
    <w:rsid w:val="001A48F0"/>
    <w:rsid w:val="001A4992"/>
    <w:rsid w:val="001A49C1"/>
    <w:rsid w:val="001A4A05"/>
    <w:rsid w:val="001A4BC2"/>
    <w:rsid w:val="001A4CD4"/>
    <w:rsid w:val="001A4CF6"/>
    <w:rsid w:val="001A4D4E"/>
    <w:rsid w:val="001A52A4"/>
    <w:rsid w:val="001A5327"/>
    <w:rsid w:val="001A5388"/>
    <w:rsid w:val="001A561E"/>
    <w:rsid w:val="001A563E"/>
    <w:rsid w:val="001A565D"/>
    <w:rsid w:val="001A5873"/>
    <w:rsid w:val="001A5B45"/>
    <w:rsid w:val="001A5BEC"/>
    <w:rsid w:val="001A5BFC"/>
    <w:rsid w:val="001A5E0E"/>
    <w:rsid w:val="001A5E30"/>
    <w:rsid w:val="001A5E80"/>
    <w:rsid w:val="001A5E8E"/>
    <w:rsid w:val="001A5EA9"/>
    <w:rsid w:val="001A5FAB"/>
    <w:rsid w:val="001A5FC4"/>
    <w:rsid w:val="001A606F"/>
    <w:rsid w:val="001A60DD"/>
    <w:rsid w:val="001A648A"/>
    <w:rsid w:val="001A64C7"/>
    <w:rsid w:val="001A64FD"/>
    <w:rsid w:val="001A66D8"/>
    <w:rsid w:val="001A6844"/>
    <w:rsid w:val="001A6871"/>
    <w:rsid w:val="001A68B4"/>
    <w:rsid w:val="001A697B"/>
    <w:rsid w:val="001A697C"/>
    <w:rsid w:val="001A6B47"/>
    <w:rsid w:val="001A6CCA"/>
    <w:rsid w:val="001A6CFC"/>
    <w:rsid w:val="001A6D1E"/>
    <w:rsid w:val="001A6D68"/>
    <w:rsid w:val="001A6EE2"/>
    <w:rsid w:val="001A6F60"/>
    <w:rsid w:val="001A7038"/>
    <w:rsid w:val="001A7084"/>
    <w:rsid w:val="001A731D"/>
    <w:rsid w:val="001A7494"/>
    <w:rsid w:val="001A74BC"/>
    <w:rsid w:val="001A7561"/>
    <w:rsid w:val="001A766C"/>
    <w:rsid w:val="001A7694"/>
    <w:rsid w:val="001A77F6"/>
    <w:rsid w:val="001A7859"/>
    <w:rsid w:val="001A78DD"/>
    <w:rsid w:val="001A7A5D"/>
    <w:rsid w:val="001A7BD4"/>
    <w:rsid w:val="001A7BD5"/>
    <w:rsid w:val="001A7C21"/>
    <w:rsid w:val="001A7CF5"/>
    <w:rsid w:val="001A7D52"/>
    <w:rsid w:val="001A7DE7"/>
    <w:rsid w:val="001B0343"/>
    <w:rsid w:val="001B05AA"/>
    <w:rsid w:val="001B05F9"/>
    <w:rsid w:val="001B0667"/>
    <w:rsid w:val="001B07D6"/>
    <w:rsid w:val="001B0820"/>
    <w:rsid w:val="001B0842"/>
    <w:rsid w:val="001B08BF"/>
    <w:rsid w:val="001B0A22"/>
    <w:rsid w:val="001B0B3F"/>
    <w:rsid w:val="001B0B84"/>
    <w:rsid w:val="001B0BA4"/>
    <w:rsid w:val="001B0BC9"/>
    <w:rsid w:val="001B0D35"/>
    <w:rsid w:val="001B0D6F"/>
    <w:rsid w:val="001B0DE0"/>
    <w:rsid w:val="001B0E05"/>
    <w:rsid w:val="001B0E71"/>
    <w:rsid w:val="001B0F71"/>
    <w:rsid w:val="001B1018"/>
    <w:rsid w:val="001B14BC"/>
    <w:rsid w:val="001B1776"/>
    <w:rsid w:val="001B180E"/>
    <w:rsid w:val="001B180F"/>
    <w:rsid w:val="001B18BF"/>
    <w:rsid w:val="001B196E"/>
    <w:rsid w:val="001B1B26"/>
    <w:rsid w:val="001B1B29"/>
    <w:rsid w:val="001B1C15"/>
    <w:rsid w:val="001B1CC3"/>
    <w:rsid w:val="001B1CF6"/>
    <w:rsid w:val="001B1D7D"/>
    <w:rsid w:val="001B1F22"/>
    <w:rsid w:val="001B1F46"/>
    <w:rsid w:val="001B2043"/>
    <w:rsid w:val="001B205E"/>
    <w:rsid w:val="001B2061"/>
    <w:rsid w:val="001B238E"/>
    <w:rsid w:val="001B23C5"/>
    <w:rsid w:val="001B24AC"/>
    <w:rsid w:val="001B2651"/>
    <w:rsid w:val="001B269A"/>
    <w:rsid w:val="001B27D1"/>
    <w:rsid w:val="001B2802"/>
    <w:rsid w:val="001B28E5"/>
    <w:rsid w:val="001B2A4E"/>
    <w:rsid w:val="001B2B07"/>
    <w:rsid w:val="001B2D3B"/>
    <w:rsid w:val="001B2DB1"/>
    <w:rsid w:val="001B2E00"/>
    <w:rsid w:val="001B2F76"/>
    <w:rsid w:val="001B2FCA"/>
    <w:rsid w:val="001B3051"/>
    <w:rsid w:val="001B30FE"/>
    <w:rsid w:val="001B31D2"/>
    <w:rsid w:val="001B333D"/>
    <w:rsid w:val="001B334F"/>
    <w:rsid w:val="001B3412"/>
    <w:rsid w:val="001B353D"/>
    <w:rsid w:val="001B35F5"/>
    <w:rsid w:val="001B3618"/>
    <w:rsid w:val="001B38B1"/>
    <w:rsid w:val="001B3933"/>
    <w:rsid w:val="001B399F"/>
    <w:rsid w:val="001B39C7"/>
    <w:rsid w:val="001B3A04"/>
    <w:rsid w:val="001B3B3D"/>
    <w:rsid w:val="001B3BC6"/>
    <w:rsid w:val="001B3E33"/>
    <w:rsid w:val="001B3E93"/>
    <w:rsid w:val="001B4142"/>
    <w:rsid w:val="001B41C1"/>
    <w:rsid w:val="001B4229"/>
    <w:rsid w:val="001B4285"/>
    <w:rsid w:val="001B438D"/>
    <w:rsid w:val="001B46A2"/>
    <w:rsid w:val="001B46EB"/>
    <w:rsid w:val="001B4778"/>
    <w:rsid w:val="001B4893"/>
    <w:rsid w:val="001B48F1"/>
    <w:rsid w:val="001B4999"/>
    <w:rsid w:val="001B4AA2"/>
    <w:rsid w:val="001B4BDD"/>
    <w:rsid w:val="001B4C9F"/>
    <w:rsid w:val="001B4CBC"/>
    <w:rsid w:val="001B506A"/>
    <w:rsid w:val="001B50A0"/>
    <w:rsid w:val="001B5126"/>
    <w:rsid w:val="001B516C"/>
    <w:rsid w:val="001B5292"/>
    <w:rsid w:val="001B52B4"/>
    <w:rsid w:val="001B5712"/>
    <w:rsid w:val="001B5764"/>
    <w:rsid w:val="001B584E"/>
    <w:rsid w:val="001B5D58"/>
    <w:rsid w:val="001B5D67"/>
    <w:rsid w:val="001B5E87"/>
    <w:rsid w:val="001B60E0"/>
    <w:rsid w:val="001B6162"/>
    <w:rsid w:val="001B6371"/>
    <w:rsid w:val="001B6380"/>
    <w:rsid w:val="001B63CD"/>
    <w:rsid w:val="001B6802"/>
    <w:rsid w:val="001B6921"/>
    <w:rsid w:val="001B6A12"/>
    <w:rsid w:val="001B6A7D"/>
    <w:rsid w:val="001B6ACB"/>
    <w:rsid w:val="001B6B44"/>
    <w:rsid w:val="001B6C9B"/>
    <w:rsid w:val="001B6D4D"/>
    <w:rsid w:val="001B6F8B"/>
    <w:rsid w:val="001B6FFC"/>
    <w:rsid w:val="001B706F"/>
    <w:rsid w:val="001B7221"/>
    <w:rsid w:val="001B7374"/>
    <w:rsid w:val="001B73C2"/>
    <w:rsid w:val="001B7435"/>
    <w:rsid w:val="001B74DF"/>
    <w:rsid w:val="001B7515"/>
    <w:rsid w:val="001B7604"/>
    <w:rsid w:val="001B77FE"/>
    <w:rsid w:val="001B7A1F"/>
    <w:rsid w:val="001B7A41"/>
    <w:rsid w:val="001B7AB7"/>
    <w:rsid w:val="001B7AC5"/>
    <w:rsid w:val="001C0038"/>
    <w:rsid w:val="001C01D5"/>
    <w:rsid w:val="001C027A"/>
    <w:rsid w:val="001C03CF"/>
    <w:rsid w:val="001C03D2"/>
    <w:rsid w:val="001C05CC"/>
    <w:rsid w:val="001C05D1"/>
    <w:rsid w:val="001C0633"/>
    <w:rsid w:val="001C09DA"/>
    <w:rsid w:val="001C0A65"/>
    <w:rsid w:val="001C0CF1"/>
    <w:rsid w:val="001C0D50"/>
    <w:rsid w:val="001C0D73"/>
    <w:rsid w:val="001C0DC9"/>
    <w:rsid w:val="001C0E50"/>
    <w:rsid w:val="001C0E78"/>
    <w:rsid w:val="001C0FD1"/>
    <w:rsid w:val="001C10B5"/>
    <w:rsid w:val="001C14D8"/>
    <w:rsid w:val="001C1811"/>
    <w:rsid w:val="001C18B0"/>
    <w:rsid w:val="001C1966"/>
    <w:rsid w:val="001C1AA5"/>
    <w:rsid w:val="001C1B84"/>
    <w:rsid w:val="001C1C3B"/>
    <w:rsid w:val="001C1C87"/>
    <w:rsid w:val="001C1D3C"/>
    <w:rsid w:val="001C1DF8"/>
    <w:rsid w:val="001C1E6A"/>
    <w:rsid w:val="001C1E76"/>
    <w:rsid w:val="001C1F7B"/>
    <w:rsid w:val="001C2111"/>
    <w:rsid w:val="001C227B"/>
    <w:rsid w:val="001C2307"/>
    <w:rsid w:val="001C24EF"/>
    <w:rsid w:val="001C264F"/>
    <w:rsid w:val="001C26CA"/>
    <w:rsid w:val="001C272D"/>
    <w:rsid w:val="001C27FE"/>
    <w:rsid w:val="001C2869"/>
    <w:rsid w:val="001C2A17"/>
    <w:rsid w:val="001C2A7D"/>
    <w:rsid w:val="001C2B25"/>
    <w:rsid w:val="001C2B6E"/>
    <w:rsid w:val="001C2CBD"/>
    <w:rsid w:val="001C2E84"/>
    <w:rsid w:val="001C2E95"/>
    <w:rsid w:val="001C2F81"/>
    <w:rsid w:val="001C33AC"/>
    <w:rsid w:val="001C357F"/>
    <w:rsid w:val="001C37A9"/>
    <w:rsid w:val="001C391A"/>
    <w:rsid w:val="001C3C3D"/>
    <w:rsid w:val="001C3CA2"/>
    <w:rsid w:val="001C3E2D"/>
    <w:rsid w:val="001C3F41"/>
    <w:rsid w:val="001C4120"/>
    <w:rsid w:val="001C4147"/>
    <w:rsid w:val="001C41C1"/>
    <w:rsid w:val="001C420A"/>
    <w:rsid w:val="001C424A"/>
    <w:rsid w:val="001C42E2"/>
    <w:rsid w:val="001C4340"/>
    <w:rsid w:val="001C46E6"/>
    <w:rsid w:val="001C4791"/>
    <w:rsid w:val="001C485E"/>
    <w:rsid w:val="001C4924"/>
    <w:rsid w:val="001C4A43"/>
    <w:rsid w:val="001C4A91"/>
    <w:rsid w:val="001C4BA1"/>
    <w:rsid w:val="001C4C31"/>
    <w:rsid w:val="001C4F11"/>
    <w:rsid w:val="001C4F1C"/>
    <w:rsid w:val="001C5157"/>
    <w:rsid w:val="001C547C"/>
    <w:rsid w:val="001C54EC"/>
    <w:rsid w:val="001C5531"/>
    <w:rsid w:val="001C554A"/>
    <w:rsid w:val="001C55CF"/>
    <w:rsid w:val="001C570F"/>
    <w:rsid w:val="001C57EA"/>
    <w:rsid w:val="001C5801"/>
    <w:rsid w:val="001C589A"/>
    <w:rsid w:val="001C58CB"/>
    <w:rsid w:val="001C58EF"/>
    <w:rsid w:val="001C5962"/>
    <w:rsid w:val="001C5B61"/>
    <w:rsid w:val="001C5BFF"/>
    <w:rsid w:val="001C5D11"/>
    <w:rsid w:val="001C5D26"/>
    <w:rsid w:val="001C5E8A"/>
    <w:rsid w:val="001C6151"/>
    <w:rsid w:val="001C6220"/>
    <w:rsid w:val="001C62AC"/>
    <w:rsid w:val="001C62C3"/>
    <w:rsid w:val="001C651A"/>
    <w:rsid w:val="001C6551"/>
    <w:rsid w:val="001C65E4"/>
    <w:rsid w:val="001C6640"/>
    <w:rsid w:val="001C66C6"/>
    <w:rsid w:val="001C672B"/>
    <w:rsid w:val="001C673E"/>
    <w:rsid w:val="001C67E1"/>
    <w:rsid w:val="001C6990"/>
    <w:rsid w:val="001C69AA"/>
    <w:rsid w:val="001C69DE"/>
    <w:rsid w:val="001C6A58"/>
    <w:rsid w:val="001C6B31"/>
    <w:rsid w:val="001C6C32"/>
    <w:rsid w:val="001C6F9E"/>
    <w:rsid w:val="001C7093"/>
    <w:rsid w:val="001C70D7"/>
    <w:rsid w:val="001C71E6"/>
    <w:rsid w:val="001C72CD"/>
    <w:rsid w:val="001C7377"/>
    <w:rsid w:val="001C7845"/>
    <w:rsid w:val="001C79E7"/>
    <w:rsid w:val="001C7B0A"/>
    <w:rsid w:val="001C7B29"/>
    <w:rsid w:val="001C7D3B"/>
    <w:rsid w:val="001C7D5B"/>
    <w:rsid w:val="001D010D"/>
    <w:rsid w:val="001D0113"/>
    <w:rsid w:val="001D0171"/>
    <w:rsid w:val="001D0296"/>
    <w:rsid w:val="001D02B6"/>
    <w:rsid w:val="001D03E6"/>
    <w:rsid w:val="001D04E5"/>
    <w:rsid w:val="001D0500"/>
    <w:rsid w:val="001D07D6"/>
    <w:rsid w:val="001D0A46"/>
    <w:rsid w:val="001D0E02"/>
    <w:rsid w:val="001D0E7B"/>
    <w:rsid w:val="001D0EB1"/>
    <w:rsid w:val="001D0F21"/>
    <w:rsid w:val="001D0F28"/>
    <w:rsid w:val="001D0FC2"/>
    <w:rsid w:val="001D1047"/>
    <w:rsid w:val="001D111A"/>
    <w:rsid w:val="001D1194"/>
    <w:rsid w:val="001D14B9"/>
    <w:rsid w:val="001D15F5"/>
    <w:rsid w:val="001D16BE"/>
    <w:rsid w:val="001D16E7"/>
    <w:rsid w:val="001D1852"/>
    <w:rsid w:val="001D18C8"/>
    <w:rsid w:val="001D19A8"/>
    <w:rsid w:val="001D1A49"/>
    <w:rsid w:val="001D1C4B"/>
    <w:rsid w:val="001D1D29"/>
    <w:rsid w:val="001D1D2B"/>
    <w:rsid w:val="001D220D"/>
    <w:rsid w:val="001D228C"/>
    <w:rsid w:val="001D232B"/>
    <w:rsid w:val="001D23C5"/>
    <w:rsid w:val="001D2411"/>
    <w:rsid w:val="001D2756"/>
    <w:rsid w:val="001D2A9E"/>
    <w:rsid w:val="001D2B56"/>
    <w:rsid w:val="001D2BFA"/>
    <w:rsid w:val="001D2CAE"/>
    <w:rsid w:val="001D2D2F"/>
    <w:rsid w:val="001D300D"/>
    <w:rsid w:val="001D3183"/>
    <w:rsid w:val="001D31B9"/>
    <w:rsid w:val="001D3392"/>
    <w:rsid w:val="001D3681"/>
    <w:rsid w:val="001D3684"/>
    <w:rsid w:val="001D373C"/>
    <w:rsid w:val="001D3772"/>
    <w:rsid w:val="001D39A9"/>
    <w:rsid w:val="001D3BC0"/>
    <w:rsid w:val="001D3CDF"/>
    <w:rsid w:val="001D3D20"/>
    <w:rsid w:val="001D3DF1"/>
    <w:rsid w:val="001D3EDE"/>
    <w:rsid w:val="001D3FD4"/>
    <w:rsid w:val="001D3FE9"/>
    <w:rsid w:val="001D4032"/>
    <w:rsid w:val="001D404F"/>
    <w:rsid w:val="001D40E1"/>
    <w:rsid w:val="001D4325"/>
    <w:rsid w:val="001D4370"/>
    <w:rsid w:val="001D441B"/>
    <w:rsid w:val="001D44A1"/>
    <w:rsid w:val="001D45B4"/>
    <w:rsid w:val="001D45E5"/>
    <w:rsid w:val="001D4684"/>
    <w:rsid w:val="001D482C"/>
    <w:rsid w:val="001D4909"/>
    <w:rsid w:val="001D496E"/>
    <w:rsid w:val="001D4A19"/>
    <w:rsid w:val="001D4BE1"/>
    <w:rsid w:val="001D4C7F"/>
    <w:rsid w:val="001D4D63"/>
    <w:rsid w:val="001D4DCA"/>
    <w:rsid w:val="001D5002"/>
    <w:rsid w:val="001D5032"/>
    <w:rsid w:val="001D51A4"/>
    <w:rsid w:val="001D51E4"/>
    <w:rsid w:val="001D532C"/>
    <w:rsid w:val="001D5363"/>
    <w:rsid w:val="001D53B0"/>
    <w:rsid w:val="001D53C2"/>
    <w:rsid w:val="001D53D5"/>
    <w:rsid w:val="001D56F6"/>
    <w:rsid w:val="001D5755"/>
    <w:rsid w:val="001D57A7"/>
    <w:rsid w:val="001D5810"/>
    <w:rsid w:val="001D5965"/>
    <w:rsid w:val="001D5B34"/>
    <w:rsid w:val="001D5B87"/>
    <w:rsid w:val="001D5CEE"/>
    <w:rsid w:val="001D5DC7"/>
    <w:rsid w:val="001D5E77"/>
    <w:rsid w:val="001D5F0A"/>
    <w:rsid w:val="001D5F1D"/>
    <w:rsid w:val="001D5F63"/>
    <w:rsid w:val="001D6016"/>
    <w:rsid w:val="001D60AA"/>
    <w:rsid w:val="001D62EB"/>
    <w:rsid w:val="001D636C"/>
    <w:rsid w:val="001D63E7"/>
    <w:rsid w:val="001D63F6"/>
    <w:rsid w:val="001D6474"/>
    <w:rsid w:val="001D64A3"/>
    <w:rsid w:val="001D64AE"/>
    <w:rsid w:val="001D652A"/>
    <w:rsid w:val="001D6531"/>
    <w:rsid w:val="001D66DB"/>
    <w:rsid w:val="001D67D4"/>
    <w:rsid w:val="001D69C5"/>
    <w:rsid w:val="001D6BCA"/>
    <w:rsid w:val="001D6C2B"/>
    <w:rsid w:val="001D6D70"/>
    <w:rsid w:val="001D6D9C"/>
    <w:rsid w:val="001D6E6B"/>
    <w:rsid w:val="001D6E95"/>
    <w:rsid w:val="001D6F7C"/>
    <w:rsid w:val="001D7071"/>
    <w:rsid w:val="001D724D"/>
    <w:rsid w:val="001D731C"/>
    <w:rsid w:val="001D734A"/>
    <w:rsid w:val="001D7556"/>
    <w:rsid w:val="001D75C9"/>
    <w:rsid w:val="001D77DC"/>
    <w:rsid w:val="001D78D4"/>
    <w:rsid w:val="001D7943"/>
    <w:rsid w:val="001D7A07"/>
    <w:rsid w:val="001D7A66"/>
    <w:rsid w:val="001D7B0E"/>
    <w:rsid w:val="001D7B8B"/>
    <w:rsid w:val="001D7BB0"/>
    <w:rsid w:val="001D7BEB"/>
    <w:rsid w:val="001D7C32"/>
    <w:rsid w:val="001E01D3"/>
    <w:rsid w:val="001E02A0"/>
    <w:rsid w:val="001E0727"/>
    <w:rsid w:val="001E0818"/>
    <w:rsid w:val="001E0A9F"/>
    <w:rsid w:val="001E0AD8"/>
    <w:rsid w:val="001E0BB7"/>
    <w:rsid w:val="001E0F97"/>
    <w:rsid w:val="001E103A"/>
    <w:rsid w:val="001E1047"/>
    <w:rsid w:val="001E10D7"/>
    <w:rsid w:val="001E1148"/>
    <w:rsid w:val="001E1686"/>
    <w:rsid w:val="001E1979"/>
    <w:rsid w:val="001E1A1A"/>
    <w:rsid w:val="001E1ADB"/>
    <w:rsid w:val="001E1B81"/>
    <w:rsid w:val="001E1C20"/>
    <w:rsid w:val="001E1CA2"/>
    <w:rsid w:val="001E1CEB"/>
    <w:rsid w:val="001E1CF6"/>
    <w:rsid w:val="001E1DA3"/>
    <w:rsid w:val="001E1EB9"/>
    <w:rsid w:val="001E202A"/>
    <w:rsid w:val="001E213B"/>
    <w:rsid w:val="001E232E"/>
    <w:rsid w:val="001E266C"/>
    <w:rsid w:val="001E286D"/>
    <w:rsid w:val="001E28A1"/>
    <w:rsid w:val="001E29CC"/>
    <w:rsid w:val="001E2B77"/>
    <w:rsid w:val="001E2C98"/>
    <w:rsid w:val="001E2D09"/>
    <w:rsid w:val="001E2EF2"/>
    <w:rsid w:val="001E2EF6"/>
    <w:rsid w:val="001E2F08"/>
    <w:rsid w:val="001E308F"/>
    <w:rsid w:val="001E335B"/>
    <w:rsid w:val="001E3393"/>
    <w:rsid w:val="001E350A"/>
    <w:rsid w:val="001E36D1"/>
    <w:rsid w:val="001E3756"/>
    <w:rsid w:val="001E385D"/>
    <w:rsid w:val="001E39D6"/>
    <w:rsid w:val="001E39FC"/>
    <w:rsid w:val="001E3AF6"/>
    <w:rsid w:val="001E3BB2"/>
    <w:rsid w:val="001E3C83"/>
    <w:rsid w:val="001E3C8E"/>
    <w:rsid w:val="001E3E27"/>
    <w:rsid w:val="001E3EBD"/>
    <w:rsid w:val="001E41D1"/>
    <w:rsid w:val="001E41F0"/>
    <w:rsid w:val="001E41F6"/>
    <w:rsid w:val="001E4394"/>
    <w:rsid w:val="001E4442"/>
    <w:rsid w:val="001E44D5"/>
    <w:rsid w:val="001E4774"/>
    <w:rsid w:val="001E47F7"/>
    <w:rsid w:val="001E4991"/>
    <w:rsid w:val="001E49EB"/>
    <w:rsid w:val="001E4ACB"/>
    <w:rsid w:val="001E4B14"/>
    <w:rsid w:val="001E51FB"/>
    <w:rsid w:val="001E537E"/>
    <w:rsid w:val="001E53F0"/>
    <w:rsid w:val="001E5462"/>
    <w:rsid w:val="001E5635"/>
    <w:rsid w:val="001E5680"/>
    <w:rsid w:val="001E56C4"/>
    <w:rsid w:val="001E5753"/>
    <w:rsid w:val="001E59DE"/>
    <w:rsid w:val="001E5A19"/>
    <w:rsid w:val="001E5ADD"/>
    <w:rsid w:val="001E5B39"/>
    <w:rsid w:val="001E5BDC"/>
    <w:rsid w:val="001E5EF5"/>
    <w:rsid w:val="001E5FD5"/>
    <w:rsid w:val="001E611A"/>
    <w:rsid w:val="001E6140"/>
    <w:rsid w:val="001E6278"/>
    <w:rsid w:val="001E63CD"/>
    <w:rsid w:val="001E669E"/>
    <w:rsid w:val="001E6817"/>
    <w:rsid w:val="001E68CA"/>
    <w:rsid w:val="001E6921"/>
    <w:rsid w:val="001E6985"/>
    <w:rsid w:val="001E6AA2"/>
    <w:rsid w:val="001E6B03"/>
    <w:rsid w:val="001E6C4F"/>
    <w:rsid w:val="001E6D05"/>
    <w:rsid w:val="001E6E12"/>
    <w:rsid w:val="001E6E71"/>
    <w:rsid w:val="001E6E80"/>
    <w:rsid w:val="001E70E6"/>
    <w:rsid w:val="001E70E7"/>
    <w:rsid w:val="001E7231"/>
    <w:rsid w:val="001E7329"/>
    <w:rsid w:val="001E7627"/>
    <w:rsid w:val="001E76AE"/>
    <w:rsid w:val="001E76B6"/>
    <w:rsid w:val="001E7700"/>
    <w:rsid w:val="001E789B"/>
    <w:rsid w:val="001E7AFE"/>
    <w:rsid w:val="001E7C7A"/>
    <w:rsid w:val="001E7CE0"/>
    <w:rsid w:val="001E7D15"/>
    <w:rsid w:val="001E7DDE"/>
    <w:rsid w:val="001E7E48"/>
    <w:rsid w:val="001F0012"/>
    <w:rsid w:val="001F002D"/>
    <w:rsid w:val="001F004B"/>
    <w:rsid w:val="001F019F"/>
    <w:rsid w:val="001F0341"/>
    <w:rsid w:val="001F035E"/>
    <w:rsid w:val="001F0452"/>
    <w:rsid w:val="001F064A"/>
    <w:rsid w:val="001F07AE"/>
    <w:rsid w:val="001F084C"/>
    <w:rsid w:val="001F08D0"/>
    <w:rsid w:val="001F0907"/>
    <w:rsid w:val="001F096A"/>
    <w:rsid w:val="001F096C"/>
    <w:rsid w:val="001F0A0A"/>
    <w:rsid w:val="001F0B5B"/>
    <w:rsid w:val="001F0B8B"/>
    <w:rsid w:val="001F0D82"/>
    <w:rsid w:val="001F0FAB"/>
    <w:rsid w:val="001F0FE1"/>
    <w:rsid w:val="001F10F6"/>
    <w:rsid w:val="001F134A"/>
    <w:rsid w:val="001F1587"/>
    <w:rsid w:val="001F1695"/>
    <w:rsid w:val="001F16B0"/>
    <w:rsid w:val="001F178C"/>
    <w:rsid w:val="001F1805"/>
    <w:rsid w:val="001F1BE6"/>
    <w:rsid w:val="001F1C1E"/>
    <w:rsid w:val="001F1C83"/>
    <w:rsid w:val="001F1C8D"/>
    <w:rsid w:val="001F1DE9"/>
    <w:rsid w:val="001F1F22"/>
    <w:rsid w:val="001F2007"/>
    <w:rsid w:val="001F2048"/>
    <w:rsid w:val="001F21CC"/>
    <w:rsid w:val="001F2227"/>
    <w:rsid w:val="001F2252"/>
    <w:rsid w:val="001F2264"/>
    <w:rsid w:val="001F22B2"/>
    <w:rsid w:val="001F22C0"/>
    <w:rsid w:val="001F2425"/>
    <w:rsid w:val="001F249D"/>
    <w:rsid w:val="001F2509"/>
    <w:rsid w:val="001F2512"/>
    <w:rsid w:val="001F2585"/>
    <w:rsid w:val="001F25E9"/>
    <w:rsid w:val="001F27AC"/>
    <w:rsid w:val="001F2859"/>
    <w:rsid w:val="001F2946"/>
    <w:rsid w:val="001F2A1B"/>
    <w:rsid w:val="001F2CB6"/>
    <w:rsid w:val="001F2F11"/>
    <w:rsid w:val="001F2F34"/>
    <w:rsid w:val="001F2F50"/>
    <w:rsid w:val="001F313D"/>
    <w:rsid w:val="001F31DA"/>
    <w:rsid w:val="001F3221"/>
    <w:rsid w:val="001F32D2"/>
    <w:rsid w:val="001F335A"/>
    <w:rsid w:val="001F35DE"/>
    <w:rsid w:val="001F35EC"/>
    <w:rsid w:val="001F37EE"/>
    <w:rsid w:val="001F3954"/>
    <w:rsid w:val="001F3B6A"/>
    <w:rsid w:val="001F3B6D"/>
    <w:rsid w:val="001F3BDD"/>
    <w:rsid w:val="001F3D2E"/>
    <w:rsid w:val="001F3D58"/>
    <w:rsid w:val="001F3DD3"/>
    <w:rsid w:val="001F3FE5"/>
    <w:rsid w:val="001F419C"/>
    <w:rsid w:val="001F4370"/>
    <w:rsid w:val="001F4380"/>
    <w:rsid w:val="001F4408"/>
    <w:rsid w:val="001F44E4"/>
    <w:rsid w:val="001F457F"/>
    <w:rsid w:val="001F46E9"/>
    <w:rsid w:val="001F478D"/>
    <w:rsid w:val="001F48D5"/>
    <w:rsid w:val="001F4A1F"/>
    <w:rsid w:val="001F4AA6"/>
    <w:rsid w:val="001F4AC1"/>
    <w:rsid w:val="001F4C37"/>
    <w:rsid w:val="001F4E0A"/>
    <w:rsid w:val="001F4F31"/>
    <w:rsid w:val="001F4FC5"/>
    <w:rsid w:val="001F5163"/>
    <w:rsid w:val="001F51A1"/>
    <w:rsid w:val="001F51F5"/>
    <w:rsid w:val="001F525E"/>
    <w:rsid w:val="001F536A"/>
    <w:rsid w:val="001F59D3"/>
    <w:rsid w:val="001F5A89"/>
    <w:rsid w:val="001F5B43"/>
    <w:rsid w:val="001F5C16"/>
    <w:rsid w:val="001F5CDD"/>
    <w:rsid w:val="001F5DEF"/>
    <w:rsid w:val="001F5E1D"/>
    <w:rsid w:val="001F5E78"/>
    <w:rsid w:val="001F5EB7"/>
    <w:rsid w:val="001F60B3"/>
    <w:rsid w:val="001F623F"/>
    <w:rsid w:val="001F62BD"/>
    <w:rsid w:val="001F6471"/>
    <w:rsid w:val="001F6583"/>
    <w:rsid w:val="001F65DB"/>
    <w:rsid w:val="001F679A"/>
    <w:rsid w:val="001F67F4"/>
    <w:rsid w:val="001F6B39"/>
    <w:rsid w:val="001F6BC5"/>
    <w:rsid w:val="001F6BD7"/>
    <w:rsid w:val="001F6D0E"/>
    <w:rsid w:val="001F6EA4"/>
    <w:rsid w:val="001F6EBF"/>
    <w:rsid w:val="001F6EF9"/>
    <w:rsid w:val="001F71CB"/>
    <w:rsid w:val="001F71D2"/>
    <w:rsid w:val="001F71E6"/>
    <w:rsid w:val="001F72A0"/>
    <w:rsid w:val="001F7347"/>
    <w:rsid w:val="001F759D"/>
    <w:rsid w:val="001F7700"/>
    <w:rsid w:val="001F7731"/>
    <w:rsid w:val="001F7804"/>
    <w:rsid w:val="001F797E"/>
    <w:rsid w:val="001F7A53"/>
    <w:rsid w:val="001F7B15"/>
    <w:rsid w:val="001F7C0C"/>
    <w:rsid w:val="001F7D30"/>
    <w:rsid w:val="001F7F41"/>
    <w:rsid w:val="002000A0"/>
    <w:rsid w:val="00200137"/>
    <w:rsid w:val="00200221"/>
    <w:rsid w:val="0020030B"/>
    <w:rsid w:val="002003CA"/>
    <w:rsid w:val="002003F5"/>
    <w:rsid w:val="002005CA"/>
    <w:rsid w:val="00200628"/>
    <w:rsid w:val="00200693"/>
    <w:rsid w:val="002007D7"/>
    <w:rsid w:val="00200920"/>
    <w:rsid w:val="00200946"/>
    <w:rsid w:val="00200A73"/>
    <w:rsid w:val="00200ABF"/>
    <w:rsid w:val="00200B01"/>
    <w:rsid w:val="00200B52"/>
    <w:rsid w:val="00200B58"/>
    <w:rsid w:val="00200BB8"/>
    <w:rsid w:val="00200BE3"/>
    <w:rsid w:val="00201084"/>
    <w:rsid w:val="002010D8"/>
    <w:rsid w:val="0020128E"/>
    <w:rsid w:val="002014E6"/>
    <w:rsid w:val="002015FB"/>
    <w:rsid w:val="00201643"/>
    <w:rsid w:val="002016E3"/>
    <w:rsid w:val="002016FA"/>
    <w:rsid w:val="00201742"/>
    <w:rsid w:val="00201831"/>
    <w:rsid w:val="00201A62"/>
    <w:rsid w:val="00201CBB"/>
    <w:rsid w:val="00201E77"/>
    <w:rsid w:val="00201EA4"/>
    <w:rsid w:val="00202070"/>
    <w:rsid w:val="002021E6"/>
    <w:rsid w:val="00202426"/>
    <w:rsid w:val="002024B0"/>
    <w:rsid w:val="002024EC"/>
    <w:rsid w:val="00202571"/>
    <w:rsid w:val="002026AB"/>
    <w:rsid w:val="002027CB"/>
    <w:rsid w:val="00202883"/>
    <w:rsid w:val="002028DA"/>
    <w:rsid w:val="00202975"/>
    <w:rsid w:val="00202C4E"/>
    <w:rsid w:val="00202DA8"/>
    <w:rsid w:val="00202F2E"/>
    <w:rsid w:val="002030AE"/>
    <w:rsid w:val="002030E5"/>
    <w:rsid w:val="00203278"/>
    <w:rsid w:val="002033CA"/>
    <w:rsid w:val="00203423"/>
    <w:rsid w:val="0020343C"/>
    <w:rsid w:val="002034A7"/>
    <w:rsid w:val="0020357C"/>
    <w:rsid w:val="002035E9"/>
    <w:rsid w:val="002036AD"/>
    <w:rsid w:val="00203821"/>
    <w:rsid w:val="00203827"/>
    <w:rsid w:val="0020398E"/>
    <w:rsid w:val="00203A87"/>
    <w:rsid w:val="00204213"/>
    <w:rsid w:val="00204254"/>
    <w:rsid w:val="00204516"/>
    <w:rsid w:val="00204608"/>
    <w:rsid w:val="00204893"/>
    <w:rsid w:val="0020491E"/>
    <w:rsid w:val="00204942"/>
    <w:rsid w:val="00204977"/>
    <w:rsid w:val="00204B62"/>
    <w:rsid w:val="00204D5C"/>
    <w:rsid w:val="00204EF4"/>
    <w:rsid w:val="00204F20"/>
    <w:rsid w:val="00204F53"/>
    <w:rsid w:val="002051EE"/>
    <w:rsid w:val="00205283"/>
    <w:rsid w:val="002052A2"/>
    <w:rsid w:val="002052F6"/>
    <w:rsid w:val="002053BE"/>
    <w:rsid w:val="002054E9"/>
    <w:rsid w:val="0020564B"/>
    <w:rsid w:val="00205758"/>
    <w:rsid w:val="00205D09"/>
    <w:rsid w:val="00205E14"/>
    <w:rsid w:val="00205E87"/>
    <w:rsid w:val="00205E98"/>
    <w:rsid w:val="00205EB3"/>
    <w:rsid w:val="00205EF8"/>
    <w:rsid w:val="00205FF7"/>
    <w:rsid w:val="00206059"/>
    <w:rsid w:val="00206063"/>
    <w:rsid w:val="002060C1"/>
    <w:rsid w:val="002061BB"/>
    <w:rsid w:val="002066B1"/>
    <w:rsid w:val="0020670F"/>
    <w:rsid w:val="00206739"/>
    <w:rsid w:val="00206BC0"/>
    <w:rsid w:val="00206BC1"/>
    <w:rsid w:val="00206FE3"/>
    <w:rsid w:val="0020702E"/>
    <w:rsid w:val="00207067"/>
    <w:rsid w:val="00207076"/>
    <w:rsid w:val="00207087"/>
    <w:rsid w:val="0020712D"/>
    <w:rsid w:val="00207514"/>
    <w:rsid w:val="00207618"/>
    <w:rsid w:val="0020762C"/>
    <w:rsid w:val="0020762D"/>
    <w:rsid w:val="0020765F"/>
    <w:rsid w:val="002076DE"/>
    <w:rsid w:val="0020777B"/>
    <w:rsid w:val="002078F9"/>
    <w:rsid w:val="00207A82"/>
    <w:rsid w:val="00207A92"/>
    <w:rsid w:val="00207B34"/>
    <w:rsid w:val="00207BE0"/>
    <w:rsid w:val="00207C55"/>
    <w:rsid w:val="00207CF9"/>
    <w:rsid w:val="00207E0C"/>
    <w:rsid w:val="0021000B"/>
    <w:rsid w:val="00210059"/>
    <w:rsid w:val="002100A6"/>
    <w:rsid w:val="002100DC"/>
    <w:rsid w:val="00210113"/>
    <w:rsid w:val="00210169"/>
    <w:rsid w:val="002101FE"/>
    <w:rsid w:val="002102A9"/>
    <w:rsid w:val="002102F1"/>
    <w:rsid w:val="002102FF"/>
    <w:rsid w:val="002103AA"/>
    <w:rsid w:val="002104C4"/>
    <w:rsid w:val="00210576"/>
    <w:rsid w:val="00210813"/>
    <w:rsid w:val="00210896"/>
    <w:rsid w:val="002108F5"/>
    <w:rsid w:val="00210976"/>
    <w:rsid w:val="00210995"/>
    <w:rsid w:val="002109A4"/>
    <w:rsid w:val="00210CDD"/>
    <w:rsid w:val="00210EA4"/>
    <w:rsid w:val="00210F69"/>
    <w:rsid w:val="00210FF8"/>
    <w:rsid w:val="00211198"/>
    <w:rsid w:val="00211426"/>
    <w:rsid w:val="002114BD"/>
    <w:rsid w:val="002115B3"/>
    <w:rsid w:val="00211749"/>
    <w:rsid w:val="00211762"/>
    <w:rsid w:val="0021189B"/>
    <w:rsid w:val="00211A7D"/>
    <w:rsid w:val="00211B1D"/>
    <w:rsid w:val="00211EE3"/>
    <w:rsid w:val="00211FAB"/>
    <w:rsid w:val="00211FB8"/>
    <w:rsid w:val="00212082"/>
    <w:rsid w:val="0021227B"/>
    <w:rsid w:val="002123EE"/>
    <w:rsid w:val="00212456"/>
    <w:rsid w:val="002124D5"/>
    <w:rsid w:val="00212597"/>
    <w:rsid w:val="002125F7"/>
    <w:rsid w:val="002126C7"/>
    <w:rsid w:val="00212857"/>
    <w:rsid w:val="002128B6"/>
    <w:rsid w:val="002128CB"/>
    <w:rsid w:val="00212984"/>
    <w:rsid w:val="002129CE"/>
    <w:rsid w:val="00212B98"/>
    <w:rsid w:val="00212D15"/>
    <w:rsid w:val="00212E87"/>
    <w:rsid w:val="00212EBC"/>
    <w:rsid w:val="00212F10"/>
    <w:rsid w:val="00212F82"/>
    <w:rsid w:val="00213056"/>
    <w:rsid w:val="00213177"/>
    <w:rsid w:val="0021319C"/>
    <w:rsid w:val="00213456"/>
    <w:rsid w:val="002134CB"/>
    <w:rsid w:val="00213545"/>
    <w:rsid w:val="00213750"/>
    <w:rsid w:val="0021375A"/>
    <w:rsid w:val="002138B2"/>
    <w:rsid w:val="00213913"/>
    <w:rsid w:val="00213B7B"/>
    <w:rsid w:val="00213C05"/>
    <w:rsid w:val="00213C1F"/>
    <w:rsid w:val="00213D9A"/>
    <w:rsid w:val="00213E4D"/>
    <w:rsid w:val="00213F64"/>
    <w:rsid w:val="002141EE"/>
    <w:rsid w:val="00214272"/>
    <w:rsid w:val="002143A6"/>
    <w:rsid w:val="0021447C"/>
    <w:rsid w:val="002144C5"/>
    <w:rsid w:val="0021450E"/>
    <w:rsid w:val="00214743"/>
    <w:rsid w:val="002147A5"/>
    <w:rsid w:val="00214821"/>
    <w:rsid w:val="00214B68"/>
    <w:rsid w:val="00214CDD"/>
    <w:rsid w:val="00214CFF"/>
    <w:rsid w:val="002151C1"/>
    <w:rsid w:val="0021537B"/>
    <w:rsid w:val="0021543B"/>
    <w:rsid w:val="00215450"/>
    <w:rsid w:val="00215AC7"/>
    <w:rsid w:val="00215CA7"/>
    <w:rsid w:val="00215DBB"/>
    <w:rsid w:val="00215DE2"/>
    <w:rsid w:val="00215E23"/>
    <w:rsid w:val="00215F1B"/>
    <w:rsid w:val="00215FCB"/>
    <w:rsid w:val="0021607C"/>
    <w:rsid w:val="00216292"/>
    <w:rsid w:val="002162A9"/>
    <w:rsid w:val="002164E1"/>
    <w:rsid w:val="0021653B"/>
    <w:rsid w:val="00216878"/>
    <w:rsid w:val="002168BB"/>
    <w:rsid w:val="00216A9C"/>
    <w:rsid w:val="00216D5C"/>
    <w:rsid w:val="0021738B"/>
    <w:rsid w:val="00217544"/>
    <w:rsid w:val="0021768D"/>
    <w:rsid w:val="00217741"/>
    <w:rsid w:val="00217941"/>
    <w:rsid w:val="00217A86"/>
    <w:rsid w:val="00217ADB"/>
    <w:rsid w:val="00217C0E"/>
    <w:rsid w:val="00217C12"/>
    <w:rsid w:val="00217C2A"/>
    <w:rsid w:val="00217C33"/>
    <w:rsid w:val="00217C42"/>
    <w:rsid w:val="00217C5C"/>
    <w:rsid w:val="00217D35"/>
    <w:rsid w:val="00217DD7"/>
    <w:rsid w:val="00217E6D"/>
    <w:rsid w:val="00217F89"/>
    <w:rsid w:val="0022009A"/>
    <w:rsid w:val="002200FE"/>
    <w:rsid w:val="00220172"/>
    <w:rsid w:val="002201E7"/>
    <w:rsid w:val="0022028C"/>
    <w:rsid w:val="00220338"/>
    <w:rsid w:val="0022035E"/>
    <w:rsid w:val="00220450"/>
    <w:rsid w:val="00220597"/>
    <w:rsid w:val="002207F7"/>
    <w:rsid w:val="0022094B"/>
    <w:rsid w:val="00220BCA"/>
    <w:rsid w:val="00220CAE"/>
    <w:rsid w:val="00220D68"/>
    <w:rsid w:val="00220E43"/>
    <w:rsid w:val="00220F09"/>
    <w:rsid w:val="002211D6"/>
    <w:rsid w:val="00221317"/>
    <w:rsid w:val="00221549"/>
    <w:rsid w:val="002215B7"/>
    <w:rsid w:val="002217E9"/>
    <w:rsid w:val="00221DD9"/>
    <w:rsid w:val="00221EF1"/>
    <w:rsid w:val="00221FA9"/>
    <w:rsid w:val="0022200D"/>
    <w:rsid w:val="00222199"/>
    <w:rsid w:val="002221AF"/>
    <w:rsid w:val="0022222B"/>
    <w:rsid w:val="00222326"/>
    <w:rsid w:val="00222407"/>
    <w:rsid w:val="0022240A"/>
    <w:rsid w:val="00222438"/>
    <w:rsid w:val="002224AD"/>
    <w:rsid w:val="00222519"/>
    <w:rsid w:val="00222520"/>
    <w:rsid w:val="00222600"/>
    <w:rsid w:val="0022269C"/>
    <w:rsid w:val="00222781"/>
    <w:rsid w:val="002227EF"/>
    <w:rsid w:val="00222967"/>
    <w:rsid w:val="00222C24"/>
    <w:rsid w:val="00223057"/>
    <w:rsid w:val="00223123"/>
    <w:rsid w:val="00223150"/>
    <w:rsid w:val="002232DB"/>
    <w:rsid w:val="00223556"/>
    <w:rsid w:val="002235B5"/>
    <w:rsid w:val="002235D2"/>
    <w:rsid w:val="002235D7"/>
    <w:rsid w:val="002237B4"/>
    <w:rsid w:val="002237F1"/>
    <w:rsid w:val="0022386B"/>
    <w:rsid w:val="0022391B"/>
    <w:rsid w:val="002239B3"/>
    <w:rsid w:val="002239D3"/>
    <w:rsid w:val="002239E2"/>
    <w:rsid w:val="00223B45"/>
    <w:rsid w:val="00223C72"/>
    <w:rsid w:val="00223D1D"/>
    <w:rsid w:val="00223DEE"/>
    <w:rsid w:val="00224378"/>
    <w:rsid w:val="00224477"/>
    <w:rsid w:val="002247DA"/>
    <w:rsid w:val="00224870"/>
    <w:rsid w:val="002248E4"/>
    <w:rsid w:val="00224A8C"/>
    <w:rsid w:val="00224AD5"/>
    <w:rsid w:val="00224B34"/>
    <w:rsid w:val="00224B4C"/>
    <w:rsid w:val="00224B8C"/>
    <w:rsid w:val="00224E16"/>
    <w:rsid w:val="00224E29"/>
    <w:rsid w:val="00224EEB"/>
    <w:rsid w:val="00224F43"/>
    <w:rsid w:val="002250D3"/>
    <w:rsid w:val="0022511F"/>
    <w:rsid w:val="002251A3"/>
    <w:rsid w:val="00225323"/>
    <w:rsid w:val="00225346"/>
    <w:rsid w:val="002253A1"/>
    <w:rsid w:val="002254A1"/>
    <w:rsid w:val="0022558B"/>
    <w:rsid w:val="002255E5"/>
    <w:rsid w:val="002256C0"/>
    <w:rsid w:val="00225812"/>
    <w:rsid w:val="00225927"/>
    <w:rsid w:val="00225C18"/>
    <w:rsid w:val="00225F9E"/>
    <w:rsid w:val="0022614F"/>
    <w:rsid w:val="002261AC"/>
    <w:rsid w:val="002262D1"/>
    <w:rsid w:val="002264D4"/>
    <w:rsid w:val="002264E6"/>
    <w:rsid w:val="00226591"/>
    <w:rsid w:val="002265CD"/>
    <w:rsid w:val="00226670"/>
    <w:rsid w:val="0022694D"/>
    <w:rsid w:val="00226D49"/>
    <w:rsid w:val="00226E44"/>
    <w:rsid w:val="00226EF8"/>
    <w:rsid w:val="00226F2D"/>
    <w:rsid w:val="00226F49"/>
    <w:rsid w:val="0022708D"/>
    <w:rsid w:val="0022720E"/>
    <w:rsid w:val="002272BA"/>
    <w:rsid w:val="00227304"/>
    <w:rsid w:val="00227507"/>
    <w:rsid w:val="002275A2"/>
    <w:rsid w:val="002275A5"/>
    <w:rsid w:val="0022763E"/>
    <w:rsid w:val="00227643"/>
    <w:rsid w:val="00227684"/>
    <w:rsid w:val="00227705"/>
    <w:rsid w:val="00227748"/>
    <w:rsid w:val="0022790F"/>
    <w:rsid w:val="00227A19"/>
    <w:rsid w:val="00227C79"/>
    <w:rsid w:val="00227D10"/>
    <w:rsid w:val="00227E84"/>
    <w:rsid w:val="00227E9D"/>
    <w:rsid w:val="00230068"/>
    <w:rsid w:val="00230084"/>
    <w:rsid w:val="002301E4"/>
    <w:rsid w:val="00230222"/>
    <w:rsid w:val="00230261"/>
    <w:rsid w:val="002303C0"/>
    <w:rsid w:val="002303C7"/>
    <w:rsid w:val="002303D2"/>
    <w:rsid w:val="00230442"/>
    <w:rsid w:val="002304AE"/>
    <w:rsid w:val="002304F2"/>
    <w:rsid w:val="00230590"/>
    <w:rsid w:val="002305AF"/>
    <w:rsid w:val="002307B7"/>
    <w:rsid w:val="002307D5"/>
    <w:rsid w:val="0023087B"/>
    <w:rsid w:val="00230993"/>
    <w:rsid w:val="00230A45"/>
    <w:rsid w:val="00230B85"/>
    <w:rsid w:val="00230C01"/>
    <w:rsid w:val="00230CB9"/>
    <w:rsid w:val="00230D3A"/>
    <w:rsid w:val="00230E68"/>
    <w:rsid w:val="00230EDF"/>
    <w:rsid w:val="00230FA6"/>
    <w:rsid w:val="00230FF2"/>
    <w:rsid w:val="00231314"/>
    <w:rsid w:val="00231347"/>
    <w:rsid w:val="0023134F"/>
    <w:rsid w:val="002313EC"/>
    <w:rsid w:val="00231497"/>
    <w:rsid w:val="002314EB"/>
    <w:rsid w:val="00231545"/>
    <w:rsid w:val="002315CD"/>
    <w:rsid w:val="00231629"/>
    <w:rsid w:val="00231646"/>
    <w:rsid w:val="0023165C"/>
    <w:rsid w:val="002316EB"/>
    <w:rsid w:val="0023177E"/>
    <w:rsid w:val="002317B9"/>
    <w:rsid w:val="00231B2D"/>
    <w:rsid w:val="00231D34"/>
    <w:rsid w:val="00231E7A"/>
    <w:rsid w:val="00231E90"/>
    <w:rsid w:val="00232122"/>
    <w:rsid w:val="0023216A"/>
    <w:rsid w:val="0023248C"/>
    <w:rsid w:val="0023253A"/>
    <w:rsid w:val="00232609"/>
    <w:rsid w:val="00232673"/>
    <w:rsid w:val="00232709"/>
    <w:rsid w:val="00232715"/>
    <w:rsid w:val="0023273E"/>
    <w:rsid w:val="002327A6"/>
    <w:rsid w:val="002327E2"/>
    <w:rsid w:val="002328B5"/>
    <w:rsid w:val="00232925"/>
    <w:rsid w:val="002329B8"/>
    <w:rsid w:val="002329CB"/>
    <w:rsid w:val="00232A35"/>
    <w:rsid w:val="00232A36"/>
    <w:rsid w:val="00232AA3"/>
    <w:rsid w:val="00232AE9"/>
    <w:rsid w:val="00232BC3"/>
    <w:rsid w:val="00232BCF"/>
    <w:rsid w:val="00232D92"/>
    <w:rsid w:val="00232EB9"/>
    <w:rsid w:val="00232F18"/>
    <w:rsid w:val="00232F46"/>
    <w:rsid w:val="00232FF8"/>
    <w:rsid w:val="0023305A"/>
    <w:rsid w:val="002331A3"/>
    <w:rsid w:val="002331E8"/>
    <w:rsid w:val="00233205"/>
    <w:rsid w:val="00233485"/>
    <w:rsid w:val="00233519"/>
    <w:rsid w:val="0023363F"/>
    <w:rsid w:val="00233689"/>
    <w:rsid w:val="0023374A"/>
    <w:rsid w:val="00233788"/>
    <w:rsid w:val="0023378E"/>
    <w:rsid w:val="00233861"/>
    <w:rsid w:val="00233958"/>
    <w:rsid w:val="002339B6"/>
    <w:rsid w:val="00233A8A"/>
    <w:rsid w:val="00233B81"/>
    <w:rsid w:val="00233CB4"/>
    <w:rsid w:val="00233CD1"/>
    <w:rsid w:val="00233E00"/>
    <w:rsid w:val="00233F0B"/>
    <w:rsid w:val="0023409D"/>
    <w:rsid w:val="002340E3"/>
    <w:rsid w:val="0023427F"/>
    <w:rsid w:val="00234332"/>
    <w:rsid w:val="00234469"/>
    <w:rsid w:val="002345F0"/>
    <w:rsid w:val="00234841"/>
    <w:rsid w:val="00234845"/>
    <w:rsid w:val="00234ACC"/>
    <w:rsid w:val="00234B1E"/>
    <w:rsid w:val="00234C76"/>
    <w:rsid w:val="00234CB8"/>
    <w:rsid w:val="00234CF4"/>
    <w:rsid w:val="00235262"/>
    <w:rsid w:val="00235361"/>
    <w:rsid w:val="0023541E"/>
    <w:rsid w:val="0023543C"/>
    <w:rsid w:val="00235489"/>
    <w:rsid w:val="0023561C"/>
    <w:rsid w:val="00235A82"/>
    <w:rsid w:val="00235ABF"/>
    <w:rsid w:val="00235B2F"/>
    <w:rsid w:val="00235C02"/>
    <w:rsid w:val="00235C17"/>
    <w:rsid w:val="00235D52"/>
    <w:rsid w:val="00235D94"/>
    <w:rsid w:val="00235DA0"/>
    <w:rsid w:val="00235E2D"/>
    <w:rsid w:val="00235EDE"/>
    <w:rsid w:val="00235F70"/>
    <w:rsid w:val="00235FD0"/>
    <w:rsid w:val="00236177"/>
    <w:rsid w:val="002361A2"/>
    <w:rsid w:val="002365B4"/>
    <w:rsid w:val="00236645"/>
    <w:rsid w:val="00236714"/>
    <w:rsid w:val="00236760"/>
    <w:rsid w:val="002368CD"/>
    <w:rsid w:val="002368DC"/>
    <w:rsid w:val="00236948"/>
    <w:rsid w:val="002369D0"/>
    <w:rsid w:val="002369F9"/>
    <w:rsid w:val="00236AB6"/>
    <w:rsid w:val="00236B05"/>
    <w:rsid w:val="0023716C"/>
    <w:rsid w:val="0023718E"/>
    <w:rsid w:val="002373BE"/>
    <w:rsid w:val="0023743E"/>
    <w:rsid w:val="002374D6"/>
    <w:rsid w:val="0023756A"/>
    <w:rsid w:val="0023762D"/>
    <w:rsid w:val="002376EB"/>
    <w:rsid w:val="0023784D"/>
    <w:rsid w:val="00237853"/>
    <w:rsid w:val="00237909"/>
    <w:rsid w:val="00237C98"/>
    <w:rsid w:val="00237CBB"/>
    <w:rsid w:val="00237DFD"/>
    <w:rsid w:val="00237F1D"/>
    <w:rsid w:val="00240317"/>
    <w:rsid w:val="002404B1"/>
    <w:rsid w:val="0024058A"/>
    <w:rsid w:val="002405EA"/>
    <w:rsid w:val="0024072B"/>
    <w:rsid w:val="00240772"/>
    <w:rsid w:val="00240893"/>
    <w:rsid w:val="002408F9"/>
    <w:rsid w:val="0024090A"/>
    <w:rsid w:val="00240918"/>
    <w:rsid w:val="00240A35"/>
    <w:rsid w:val="00240D15"/>
    <w:rsid w:val="00240D32"/>
    <w:rsid w:val="00240DCF"/>
    <w:rsid w:val="00240E39"/>
    <w:rsid w:val="00240E5F"/>
    <w:rsid w:val="00240EDC"/>
    <w:rsid w:val="00241091"/>
    <w:rsid w:val="0024120D"/>
    <w:rsid w:val="0024121E"/>
    <w:rsid w:val="00241298"/>
    <w:rsid w:val="002412CF"/>
    <w:rsid w:val="0024135E"/>
    <w:rsid w:val="00241624"/>
    <w:rsid w:val="002416F6"/>
    <w:rsid w:val="0024183C"/>
    <w:rsid w:val="00241B87"/>
    <w:rsid w:val="00241B8A"/>
    <w:rsid w:val="00241BBE"/>
    <w:rsid w:val="00241BDB"/>
    <w:rsid w:val="00241EE3"/>
    <w:rsid w:val="00241EE8"/>
    <w:rsid w:val="00241FBF"/>
    <w:rsid w:val="00242028"/>
    <w:rsid w:val="00242306"/>
    <w:rsid w:val="002423D2"/>
    <w:rsid w:val="00242A33"/>
    <w:rsid w:val="00242A50"/>
    <w:rsid w:val="00242BE4"/>
    <w:rsid w:val="0024302E"/>
    <w:rsid w:val="002430A4"/>
    <w:rsid w:val="00243163"/>
    <w:rsid w:val="002431F3"/>
    <w:rsid w:val="002433BC"/>
    <w:rsid w:val="002433D9"/>
    <w:rsid w:val="002433E0"/>
    <w:rsid w:val="002433E2"/>
    <w:rsid w:val="002433F1"/>
    <w:rsid w:val="002434CF"/>
    <w:rsid w:val="002435B8"/>
    <w:rsid w:val="002437AB"/>
    <w:rsid w:val="002437E0"/>
    <w:rsid w:val="00243A23"/>
    <w:rsid w:val="00243AD6"/>
    <w:rsid w:val="00243AF5"/>
    <w:rsid w:val="00243B53"/>
    <w:rsid w:val="00243C59"/>
    <w:rsid w:val="00243C93"/>
    <w:rsid w:val="00243E6A"/>
    <w:rsid w:val="00243EF5"/>
    <w:rsid w:val="00244078"/>
    <w:rsid w:val="002440A3"/>
    <w:rsid w:val="002440FD"/>
    <w:rsid w:val="00244131"/>
    <w:rsid w:val="0024416E"/>
    <w:rsid w:val="002442EB"/>
    <w:rsid w:val="00244427"/>
    <w:rsid w:val="00244438"/>
    <w:rsid w:val="0024445C"/>
    <w:rsid w:val="00244511"/>
    <w:rsid w:val="0024463C"/>
    <w:rsid w:val="0024472B"/>
    <w:rsid w:val="002447B5"/>
    <w:rsid w:val="002448B0"/>
    <w:rsid w:val="00244AC8"/>
    <w:rsid w:val="00244AE6"/>
    <w:rsid w:val="00244AF0"/>
    <w:rsid w:val="00244B59"/>
    <w:rsid w:val="00244BD2"/>
    <w:rsid w:val="00244C25"/>
    <w:rsid w:val="00244C40"/>
    <w:rsid w:val="00244C56"/>
    <w:rsid w:val="00244CCC"/>
    <w:rsid w:val="00244DCE"/>
    <w:rsid w:val="00244EA4"/>
    <w:rsid w:val="00244EFB"/>
    <w:rsid w:val="00244F4E"/>
    <w:rsid w:val="00245095"/>
    <w:rsid w:val="002450A3"/>
    <w:rsid w:val="00245195"/>
    <w:rsid w:val="002451B3"/>
    <w:rsid w:val="002453A4"/>
    <w:rsid w:val="00245437"/>
    <w:rsid w:val="00245556"/>
    <w:rsid w:val="002455C9"/>
    <w:rsid w:val="0024560D"/>
    <w:rsid w:val="0024566D"/>
    <w:rsid w:val="0024566F"/>
    <w:rsid w:val="00245687"/>
    <w:rsid w:val="00245720"/>
    <w:rsid w:val="00245731"/>
    <w:rsid w:val="00245AE9"/>
    <w:rsid w:val="00245D31"/>
    <w:rsid w:val="00245D6A"/>
    <w:rsid w:val="00245E76"/>
    <w:rsid w:val="00245FEE"/>
    <w:rsid w:val="00245FEF"/>
    <w:rsid w:val="00246063"/>
    <w:rsid w:val="0024667E"/>
    <w:rsid w:val="002466A2"/>
    <w:rsid w:val="00246719"/>
    <w:rsid w:val="0024676C"/>
    <w:rsid w:val="002468E4"/>
    <w:rsid w:val="00246A7B"/>
    <w:rsid w:val="00246B6A"/>
    <w:rsid w:val="00246FF6"/>
    <w:rsid w:val="00247335"/>
    <w:rsid w:val="0024760F"/>
    <w:rsid w:val="00247668"/>
    <w:rsid w:val="0024770D"/>
    <w:rsid w:val="002479B2"/>
    <w:rsid w:val="002479D2"/>
    <w:rsid w:val="00247B76"/>
    <w:rsid w:val="00247BF1"/>
    <w:rsid w:val="00247D10"/>
    <w:rsid w:val="00247D5D"/>
    <w:rsid w:val="002505CC"/>
    <w:rsid w:val="002506DB"/>
    <w:rsid w:val="00250752"/>
    <w:rsid w:val="00250AEE"/>
    <w:rsid w:val="00250B0B"/>
    <w:rsid w:val="00250B41"/>
    <w:rsid w:val="00250B4D"/>
    <w:rsid w:val="00250B6A"/>
    <w:rsid w:val="00250C9D"/>
    <w:rsid w:val="00250CDA"/>
    <w:rsid w:val="00250DCF"/>
    <w:rsid w:val="002511E6"/>
    <w:rsid w:val="00251285"/>
    <w:rsid w:val="0025133B"/>
    <w:rsid w:val="0025158F"/>
    <w:rsid w:val="0025166C"/>
    <w:rsid w:val="00251676"/>
    <w:rsid w:val="0025190B"/>
    <w:rsid w:val="00251949"/>
    <w:rsid w:val="00251952"/>
    <w:rsid w:val="00251CFF"/>
    <w:rsid w:val="00251E24"/>
    <w:rsid w:val="00251F1C"/>
    <w:rsid w:val="00252034"/>
    <w:rsid w:val="0025214A"/>
    <w:rsid w:val="002522CA"/>
    <w:rsid w:val="00252320"/>
    <w:rsid w:val="00252476"/>
    <w:rsid w:val="002525DA"/>
    <w:rsid w:val="00252628"/>
    <w:rsid w:val="002526F8"/>
    <w:rsid w:val="002529E1"/>
    <w:rsid w:val="00252A36"/>
    <w:rsid w:val="00252B8B"/>
    <w:rsid w:val="00252BD1"/>
    <w:rsid w:val="00252D0D"/>
    <w:rsid w:val="00252FDA"/>
    <w:rsid w:val="00253129"/>
    <w:rsid w:val="0025320F"/>
    <w:rsid w:val="002532FC"/>
    <w:rsid w:val="00253377"/>
    <w:rsid w:val="00253430"/>
    <w:rsid w:val="00253440"/>
    <w:rsid w:val="00253500"/>
    <w:rsid w:val="0025355F"/>
    <w:rsid w:val="0025388B"/>
    <w:rsid w:val="002538E3"/>
    <w:rsid w:val="00253984"/>
    <w:rsid w:val="00253CD1"/>
    <w:rsid w:val="00253CFF"/>
    <w:rsid w:val="00253E50"/>
    <w:rsid w:val="00253F3C"/>
    <w:rsid w:val="00253FE2"/>
    <w:rsid w:val="0025410E"/>
    <w:rsid w:val="0025430B"/>
    <w:rsid w:val="00254413"/>
    <w:rsid w:val="002545B2"/>
    <w:rsid w:val="00254689"/>
    <w:rsid w:val="00254813"/>
    <w:rsid w:val="0025485D"/>
    <w:rsid w:val="00254927"/>
    <w:rsid w:val="00254ABE"/>
    <w:rsid w:val="00254DAA"/>
    <w:rsid w:val="00254F12"/>
    <w:rsid w:val="00254F86"/>
    <w:rsid w:val="00254FD6"/>
    <w:rsid w:val="0025509B"/>
    <w:rsid w:val="002551F3"/>
    <w:rsid w:val="0025545D"/>
    <w:rsid w:val="00255529"/>
    <w:rsid w:val="00255679"/>
    <w:rsid w:val="00255685"/>
    <w:rsid w:val="002556AC"/>
    <w:rsid w:val="002556BB"/>
    <w:rsid w:val="002558E5"/>
    <w:rsid w:val="002559BE"/>
    <w:rsid w:val="00255C1E"/>
    <w:rsid w:val="00255EB5"/>
    <w:rsid w:val="00255F60"/>
    <w:rsid w:val="002562BA"/>
    <w:rsid w:val="0025631C"/>
    <w:rsid w:val="00256362"/>
    <w:rsid w:val="00256377"/>
    <w:rsid w:val="00256380"/>
    <w:rsid w:val="002566E8"/>
    <w:rsid w:val="00256764"/>
    <w:rsid w:val="0025697D"/>
    <w:rsid w:val="00256B97"/>
    <w:rsid w:val="00256D90"/>
    <w:rsid w:val="00256D9A"/>
    <w:rsid w:val="00256DB1"/>
    <w:rsid w:val="00256EB2"/>
    <w:rsid w:val="00256FDB"/>
    <w:rsid w:val="002570EE"/>
    <w:rsid w:val="002571B2"/>
    <w:rsid w:val="002571DD"/>
    <w:rsid w:val="00257227"/>
    <w:rsid w:val="00257232"/>
    <w:rsid w:val="0025731C"/>
    <w:rsid w:val="00257450"/>
    <w:rsid w:val="00257521"/>
    <w:rsid w:val="00257631"/>
    <w:rsid w:val="0025776E"/>
    <w:rsid w:val="0025778F"/>
    <w:rsid w:val="002577B2"/>
    <w:rsid w:val="00257924"/>
    <w:rsid w:val="00257961"/>
    <w:rsid w:val="00257AD7"/>
    <w:rsid w:val="00257B2D"/>
    <w:rsid w:val="00257B9D"/>
    <w:rsid w:val="00257BC2"/>
    <w:rsid w:val="00257C51"/>
    <w:rsid w:val="00257C89"/>
    <w:rsid w:val="00257D62"/>
    <w:rsid w:val="00257ECE"/>
    <w:rsid w:val="0026018A"/>
    <w:rsid w:val="002601EB"/>
    <w:rsid w:val="002602ED"/>
    <w:rsid w:val="002602F7"/>
    <w:rsid w:val="0026048C"/>
    <w:rsid w:val="0026067C"/>
    <w:rsid w:val="002606E9"/>
    <w:rsid w:val="002608B2"/>
    <w:rsid w:val="00260A20"/>
    <w:rsid w:val="00260A68"/>
    <w:rsid w:val="00260ADE"/>
    <w:rsid w:val="00260C43"/>
    <w:rsid w:val="00260C9C"/>
    <w:rsid w:val="00260D42"/>
    <w:rsid w:val="00260E1D"/>
    <w:rsid w:val="00260F44"/>
    <w:rsid w:val="0026113F"/>
    <w:rsid w:val="002612ED"/>
    <w:rsid w:val="0026131C"/>
    <w:rsid w:val="00261322"/>
    <w:rsid w:val="002613A9"/>
    <w:rsid w:val="002615E8"/>
    <w:rsid w:val="0026162A"/>
    <w:rsid w:val="00261784"/>
    <w:rsid w:val="00261828"/>
    <w:rsid w:val="0026193D"/>
    <w:rsid w:val="002619DE"/>
    <w:rsid w:val="002619FB"/>
    <w:rsid w:val="00261C2E"/>
    <w:rsid w:val="00261C4D"/>
    <w:rsid w:val="00261DD1"/>
    <w:rsid w:val="00261ED8"/>
    <w:rsid w:val="00261F08"/>
    <w:rsid w:val="00261FF7"/>
    <w:rsid w:val="0026202E"/>
    <w:rsid w:val="00262035"/>
    <w:rsid w:val="0026229D"/>
    <w:rsid w:val="00262446"/>
    <w:rsid w:val="00262569"/>
    <w:rsid w:val="00262592"/>
    <w:rsid w:val="002625E9"/>
    <w:rsid w:val="00262606"/>
    <w:rsid w:val="002626EE"/>
    <w:rsid w:val="0026275F"/>
    <w:rsid w:val="00262786"/>
    <w:rsid w:val="00262919"/>
    <w:rsid w:val="00262C53"/>
    <w:rsid w:val="00262CEE"/>
    <w:rsid w:val="00262D44"/>
    <w:rsid w:val="00262EA0"/>
    <w:rsid w:val="00262F44"/>
    <w:rsid w:val="00263012"/>
    <w:rsid w:val="0026303B"/>
    <w:rsid w:val="002630C3"/>
    <w:rsid w:val="002631AA"/>
    <w:rsid w:val="0026349A"/>
    <w:rsid w:val="00263662"/>
    <w:rsid w:val="00263770"/>
    <w:rsid w:val="002638DC"/>
    <w:rsid w:val="00263D42"/>
    <w:rsid w:val="00263DA0"/>
    <w:rsid w:val="00263E47"/>
    <w:rsid w:val="00263E65"/>
    <w:rsid w:val="00263F0A"/>
    <w:rsid w:val="00263FA0"/>
    <w:rsid w:val="00263FE3"/>
    <w:rsid w:val="00264177"/>
    <w:rsid w:val="00264205"/>
    <w:rsid w:val="00264349"/>
    <w:rsid w:val="00264394"/>
    <w:rsid w:val="002643B2"/>
    <w:rsid w:val="0026447C"/>
    <w:rsid w:val="00264521"/>
    <w:rsid w:val="00264862"/>
    <w:rsid w:val="002648A2"/>
    <w:rsid w:val="002649CC"/>
    <w:rsid w:val="002649D0"/>
    <w:rsid w:val="00264AC3"/>
    <w:rsid w:val="00264AFF"/>
    <w:rsid w:val="00264D61"/>
    <w:rsid w:val="00264DA4"/>
    <w:rsid w:val="00264DE4"/>
    <w:rsid w:val="00264E54"/>
    <w:rsid w:val="00264E69"/>
    <w:rsid w:val="00264EF5"/>
    <w:rsid w:val="00264F45"/>
    <w:rsid w:val="00265033"/>
    <w:rsid w:val="00265186"/>
    <w:rsid w:val="0026521D"/>
    <w:rsid w:val="002652EC"/>
    <w:rsid w:val="00265478"/>
    <w:rsid w:val="00265990"/>
    <w:rsid w:val="002659FC"/>
    <w:rsid w:val="00265A17"/>
    <w:rsid w:val="00265A4A"/>
    <w:rsid w:val="00265BB2"/>
    <w:rsid w:val="00265BEA"/>
    <w:rsid w:val="00265C27"/>
    <w:rsid w:val="00265D69"/>
    <w:rsid w:val="00265D7B"/>
    <w:rsid w:val="00265DC4"/>
    <w:rsid w:val="00265E0F"/>
    <w:rsid w:val="00265E2A"/>
    <w:rsid w:val="00265ED8"/>
    <w:rsid w:val="00265EFB"/>
    <w:rsid w:val="00265F00"/>
    <w:rsid w:val="00265F36"/>
    <w:rsid w:val="00265FC7"/>
    <w:rsid w:val="002660F6"/>
    <w:rsid w:val="00266516"/>
    <w:rsid w:val="002666D0"/>
    <w:rsid w:val="00266769"/>
    <w:rsid w:val="002669B1"/>
    <w:rsid w:val="00266C48"/>
    <w:rsid w:val="00266C91"/>
    <w:rsid w:val="00266C94"/>
    <w:rsid w:val="00266D28"/>
    <w:rsid w:val="00266D4E"/>
    <w:rsid w:val="00266E97"/>
    <w:rsid w:val="002670A5"/>
    <w:rsid w:val="00267103"/>
    <w:rsid w:val="0026716B"/>
    <w:rsid w:val="00267173"/>
    <w:rsid w:val="002672B0"/>
    <w:rsid w:val="002672D7"/>
    <w:rsid w:val="0026733E"/>
    <w:rsid w:val="002673CD"/>
    <w:rsid w:val="00267454"/>
    <w:rsid w:val="0026749A"/>
    <w:rsid w:val="002675AA"/>
    <w:rsid w:val="00267687"/>
    <w:rsid w:val="002676D0"/>
    <w:rsid w:val="0026790D"/>
    <w:rsid w:val="00267933"/>
    <w:rsid w:val="00267EA6"/>
    <w:rsid w:val="0027039D"/>
    <w:rsid w:val="002703D4"/>
    <w:rsid w:val="002703FC"/>
    <w:rsid w:val="00270661"/>
    <w:rsid w:val="002706D1"/>
    <w:rsid w:val="00270ACC"/>
    <w:rsid w:val="00270AD5"/>
    <w:rsid w:val="00270C4E"/>
    <w:rsid w:val="00270CEC"/>
    <w:rsid w:val="00270D0E"/>
    <w:rsid w:val="00270EE9"/>
    <w:rsid w:val="00270FA1"/>
    <w:rsid w:val="00270FE2"/>
    <w:rsid w:val="002710D0"/>
    <w:rsid w:val="002710FA"/>
    <w:rsid w:val="002711A5"/>
    <w:rsid w:val="002713C2"/>
    <w:rsid w:val="002715CA"/>
    <w:rsid w:val="002716AB"/>
    <w:rsid w:val="00271835"/>
    <w:rsid w:val="00271854"/>
    <w:rsid w:val="00271880"/>
    <w:rsid w:val="0027198F"/>
    <w:rsid w:val="00271A08"/>
    <w:rsid w:val="00271A85"/>
    <w:rsid w:val="00271AEA"/>
    <w:rsid w:val="00271AEC"/>
    <w:rsid w:val="00271BA6"/>
    <w:rsid w:val="00271E87"/>
    <w:rsid w:val="00271E97"/>
    <w:rsid w:val="00271F84"/>
    <w:rsid w:val="002722B2"/>
    <w:rsid w:val="0027237E"/>
    <w:rsid w:val="002724BD"/>
    <w:rsid w:val="0027264D"/>
    <w:rsid w:val="002727AB"/>
    <w:rsid w:val="002727C9"/>
    <w:rsid w:val="002727CE"/>
    <w:rsid w:val="0027281F"/>
    <w:rsid w:val="00272838"/>
    <w:rsid w:val="002728B3"/>
    <w:rsid w:val="00272941"/>
    <w:rsid w:val="002729B9"/>
    <w:rsid w:val="00272ACB"/>
    <w:rsid w:val="00272B38"/>
    <w:rsid w:val="00272BD5"/>
    <w:rsid w:val="00272D61"/>
    <w:rsid w:val="00272ED4"/>
    <w:rsid w:val="00272F5F"/>
    <w:rsid w:val="00273082"/>
    <w:rsid w:val="00273102"/>
    <w:rsid w:val="0027311F"/>
    <w:rsid w:val="00273178"/>
    <w:rsid w:val="002731E4"/>
    <w:rsid w:val="002731E7"/>
    <w:rsid w:val="00273200"/>
    <w:rsid w:val="00273397"/>
    <w:rsid w:val="0027348C"/>
    <w:rsid w:val="002734D1"/>
    <w:rsid w:val="002735E9"/>
    <w:rsid w:val="0027385F"/>
    <w:rsid w:val="0027395C"/>
    <w:rsid w:val="00273974"/>
    <w:rsid w:val="00273AB3"/>
    <w:rsid w:val="00273ACD"/>
    <w:rsid w:val="00273D7F"/>
    <w:rsid w:val="00274068"/>
    <w:rsid w:val="00274266"/>
    <w:rsid w:val="00274270"/>
    <w:rsid w:val="002742E3"/>
    <w:rsid w:val="0027435C"/>
    <w:rsid w:val="0027439D"/>
    <w:rsid w:val="00274495"/>
    <w:rsid w:val="00274535"/>
    <w:rsid w:val="0027453F"/>
    <w:rsid w:val="00274566"/>
    <w:rsid w:val="0027458D"/>
    <w:rsid w:val="0027462C"/>
    <w:rsid w:val="002746E1"/>
    <w:rsid w:val="00274837"/>
    <w:rsid w:val="002748E1"/>
    <w:rsid w:val="00274943"/>
    <w:rsid w:val="0027495D"/>
    <w:rsid w:val="00274B02"/>
    <w:rsid w:val="00274B35"/>
    <w:rsid w:val="00274F77"/>
    <w:rsid w:val="00275004"/>
    <w:rsid w:val="002753BD"/>
    <w:rsid w:val="00275434"/>
    <w:rsid w:val="0027546E"/>
    <w:rsid w:val="0027564B"/>
    <w:rsid w:val="00275651"/>
    <w:rsid w:val="00275670"/>
    <w:rsid w:val="00275739"/>
    <w:rsid w:val="00275866"/>
    <w:rsid w:val="002759BC"/>
    <w:rsid w:val="00275A09"/>
    <w:rsid w:val="00275BDD"/>
    <w:rsid w:val="00275C71"/>
    <w:rsid w:val="00275EFB"/>
    <w:rsid w:val="00275F4F"/>
    <w:rsid w:val="002760CE"/>
    <w:rsid w:val="00276224"/>
    <w:rsid w:val="0027625C"/>
    <w:rsid w:val="0027638D"/>
    <w:rsid w:val="0027641C"/>
    <w:rsid w:val="002764B5"/>
    <w:rsid w:val="00276712"/>
    <w:rsid w:val="00276799"/>
    <w:rsid w:val="002768A1"/>
    <w:rsid w:val="002768A6"/>
    <w:rsid w:val="002768E1"/>
    <w:rsid w:val="00276B49"/>
    <w:rsid w:val="00276B8E"/>
    <w:rsid w:val="00276C65"/>
    <w:rsid w:val="00276E10"/>
    <w:rsid w:val="00276EFD"/>
    <w:rsid w:val="00276FA7"/>
    <w:rsid w:val="00277024"/>
    <w:rsid w:val="002771B0"/>
    <w:rsid w:val="00277225"/>
    <w:rsid w:val="0027726D"/>
    <w:rsid w:val="0027727E"/>
    <w:rsid w:val="00277306"/>
    <w:rsid w:val="00277516"/>
    <w:rsid w:val="002779C2"/>
    <w:rsid w:val="002779F4"/>
    <w:rsid w:val="00277A5C"/>
    <w:rsid w:val="00277B52"/>
    <w:rsid w:val="00277CA0"/>
    <w:rsid w:val="00277CD2"/>
    <w:rsid w:val="00277D30"/>
    <w:rsid w:val="00277FD0"/>
    <w:rsid w:val="0028031E"/>
    <w:rsid w:val="002804E7"/>
    <w:rsid w:val="002805A6"/>
    <w:rsid w:val="002806DE"/>
    <w:rsid w:val="0028094D"/>
    <w:rsid w:val="002809E8"/>
    <w:rsid w:val="00280A0E"/>
    <w:rsid w:val="00280B60"/>
    <w:rsid w:val="00280B90"/>
    <w:rsid w:val="00280D65"/>
    <w:rsid w:val="00280D90"/>
    <w:rsid w:val="00280DB1"/>
    <w:rsid w:val="00280DEE"/>
    <w:rsid w:val="00280E2E"/>
    <w:rsid w:val="00280F3A"/>
    <w:rsid w:val="00281019"/>
    <w:rsid w:val="002810E6"/>
    <w:rsid w:val="00281148"/>
    <w:rsid w:val="00281266"/>
    <w:rsid w:val="002812B0"/>
    <w:rsid w:val="0028142B"/>
    <w:rsid w:val="00281506"/>
    <w:rsid w:val="0028162B"/>
    <w:rsid w:val="00281687"/>
    <w:rsid w:val="00281690"/>
    <w:rsid w:val="002816E3"/>
    <w:rsid w:val="002816F1"/>
    <w:rsid w:val="002818ED"/>
    <w:rsid w:val="002819FA"/>
    <w:rsid w:val="00281AE7"/>
    <w:rsid w:val="00281BD1"/>
    <w:rsid w:val="00281E01"/>
    <w:rsid w:val="00281F42"/>
    <w:rsid w:val="00281F52"/>
    <w:rsid w:val="00281FA1"/>
    <w:rsid w:val="00282083"/>
    <w:rsid w:val="002820AD"/>
    <w:rsid w:val="002820F2"/>
    <w:rsid w:val="002822D1"/>
    <w:rsid w:val="00282427"/>
    <w:rsid w:val="00282704"/>
    <w:rsid w:val="00282720"/>
    <w:rsid w:val="00282793"/>
    <w:rsid w:val="00282842"/>
    <w:rsid w:val="002828D9"/>
    <w:rsid w:val="0028292D"/>
    <w:rsid w:val="002829DA"/>
    <w:rsid w:val="00282AF4"/>
    <w:rsid w:val="00282BE0"/>
    <w:rsid w:val="00282D3E"/>
    <w:rsid w:val="00282E9F"/>
    <w:rsid w:val="002830A1"/>
    <w:rsid w:val="002830C7"/>
    <w:rsid w:val="00283176"/>
    <w:rsid w:val="002833DF"/>
    <w:rsid w:val="00283520"/>
    <w:rsid w:val="00283622"/>
    <w:rsid w:val="00283688"/>
    <w:rsid w:val="00283722"/>
    <w:rsid w:val="0028382D"/>
    <w:rsid w:val="002839C1"/>
    <w:rsid w:val="002839DD"/>
    <w:rsid w:val="00283A2A"/>
    <w:rsid w:val="00283A4E"/>
    <w:rsid w:val="00283B79"/>
    <w:rsid w:val="00283BB9"/>
    <w:rsid w:val="00283CAD"/>
    <w:rsid w:val="0028415C"/>
    <w:rsid w:val="002841A7"/>
    <w:rsid w:val="002841B2"/>
    <w:rsid w:val="002842EE"/>
    <w:rsid w:val="00284334"/>
    <w:rsid w:val="0028434F"/>
    <w:rsid w:val="002844F1"/>
    <w:rsid w:val="002845CC"/>
    <w:rsid w:val="00284650"/>
    <w:rsid w:val="00284692"/>
    <w:rsid w:val="00284929"/>
    <w:rsid w:val="00284930"/>
    <w:rsid w:val="002849A3"/>
    <w:rsid w:val="002849EB"/>
    <w:rsid w:val="00284A0C"/>
    <w:rsid w:val="00284B52"/>
    <w:rsid w:val="00284B59"/>
    <w:rsid w:val="00284B9D"/>
    <w:rsid w:val="00285020"/>
    <w:rsid w:val="002850CB"/>
    <w:rsid w:val="00285110"/>
    <w:rsid w:val="00285157"/>
    <w:rsid w:val="00285335"/>
    <w:rsid w:val="0028543E"/>
    <w:rsid w:val="002854AF"/>
    <w:rsid w:val="002856E9"/>
    <w:rsid w:val="00285785"/>
    <w:rsid w:val="00285958"/>
    <w:rsid w:val="00285B15"/>
    <w:rsid w:val="00285B5F"/>
    <w:rsid w:val="00285C0F"/>
    <w:rsid w:val="00285C84"/>
    <w:rsid w:val="002860D3"/>
    <w:rsid w:val="00286149"/>
    <w:rsid w:val="00286223"/>
    <w:rsid w:val="002862DA"/>
    <w:rsid w:val="002863AC"/>
    <w:rsid w:val="00286426"/>
    <w:rsid w:val="0028648C"/>
    <w:rsid w:val="00286671"/>
    <w:rsid w:val="002868CA"/>
    <w:rsid w:val="002868EC"/>
    <w:rsid w:val="0028693D"/>
    <w:rsid w:val="00286A36"/>
    <w:rsid w:val="00286BF7"/>
    <w:rsid w:val="002871AB"/>
    <w:rsid w:val="002872FB"/>
    <w:rsid w:val="0028741C"/>
    <w:rsid w:val="0028750C"/>
    <w:rsid w:val="0028753B"/>
    <w:rsid w:val="002875FC"/>
    <w:rsid w:val="0028763D"/>
    <w:rsid w:val="00287650"/>
    <w:rsid w:val="0028788C"/>
    <w:rsid w:val="00287A76"/>
    <w:rsid w:val="00287B61"/>
    <w:rsid w:val="00287D2F"/>
    <w:rsid w:val="00287D9D"/>
    <w:rsid w:val="00287E02"/>
    <w:rsid w:val="00287E7F"/>
    <w:rsid w:val="00287E8D"/>
    <w:rsid w:val="00287EB6"/>
    <w:rsid w:val="00287EFA"/>
    <w:rsid w:val="00287F52"/>
    <w:rsid w:val="00287FC2"/>
    <w:rsid w:val="0029006E"/>
    <w:rsid w:val="00290189"/>
    <w:rsid w:val="0029018F"/>
    <w:rsid w:val="00290218"/>
    <w:rsid w:val="002903CB"/>
    <w:rsid w:val="002904D7"/>
    <w:rsid w:val="0029056D"/>
    <w:rsid w:val="002906E3"/>
    <w:rsid w:val="002906EC"/>
    <w:rsid w:val="00290A61"/>
    <w:rsid w:val="00290B8F"/>
    <w:rsid w:val="00290C5C"/>
    <w:rsid w:val="00290E64"/>
    <w:rsid w:val="00290E7F"/>
    <w:rsid w:val="00290F2B"/>
    <w:rsid w:val="00290FD9"/>
    <w:rsid w:val="00291032"/>
    <w:rsid w:val="0029107B"/>
    <w:rsid w:val="002912F7"/>
    <w:rsid w:val="002913ED"/>
    <w:rsid w:val="0029142F"/>
    <w:rsid w:val="00291436"/>
    <w:rsid w:val="00291703"/>
    <w:rsid w:val="0029174C"/>
    <w:rsid w:val="00291989"/>
    <w:rsid w:val="00291995"/>
    <w:rsid w:val="00291B23"/>
    <w:rsid w:val="00291C31"/>
    <w:rsid w:val="00291DBA"/>
    <w:rsid w:val="00291EC5"/>
    <w:rsid w:val="00291F32"/>
    <w:rsid w:val="00291F47"/>
    <w:rsid w:val="0029226B"/>
    <w:rsid w:val="0029229E"/>
    <w:rsid w:val="0029245E"/>
    <w:rsid w:val="00292489"/>
    <w:rsid w:val="002924D6"/>
    <w:rsid w:val="002924FD"/>
    <w:rsid w:val="002926E6"/>
    <w:rsid w:val="002927A7"/>
    <w:rsid w:val="002927EF"/>
    <w:rsid w:val="0029285B"/>
    <w:rsid w:val="002928DD"/>
    <w:rsid w:val="0029293F"/>
    <w:rsid w:val="002929B0"/>
    <w:rsid w:val="00292A8A"/>
    <w:rsid w:val="00292AB5"/>
    <w:rsid w:val="00292C6A"/>
    <w:rsid w:val="00292C98"/>
    <w:rsid w:val="00292C9C"/>
    <w:rsid w:val="00292DB1"/>
    <w:rsid w:val="00292EAD"/>
    <w:rsid w:val="00292EB9"/>
    <w:rsid w:val="00292EFC"/>
    <w:rsid w:val="00292FCE"/>
    <w:rsid w:val="0029304F"/>
    <w:rsid w:val="00293236"/>
    <w:rsid w:val="002932D1"/>
    <w:rsid w:val="00293492"/>
    <w:rsid w:val="0029349D"/>
    <w:rsid w:val="0029350B"/>
    <w:rsid w:val="002935B2"/>
    <w:rsid w:val="00293693"/>
    <w:rsid w:val="00293771"/>
    <w:rsid w:val="00293795"/>
    <w:rsid w:val="002937AB"/>
    <w:rsid w:val="002937D8"/>
    <w:rsid w:val="00293B74"/>
    <w:rsid w:val="00293BC5"/>
    <w:rsid w:val="00293FB3"/>
    <w:rsid w:val="00294163"/>
    <w:rsid w:val="00294192"/>
    <w:rsid w:val="0029424F"/>
    <w:rsid w:val="00294924"/>
    <w:rsid w:val="00294A64"/>
    <w:rsid w:val="00294B01"/>
    <w:rsid w:val="00294B9C"/>
    <w:rsid w:val="00294C26"/>
    <w:rsid w:val="00294CA8"/>
    <w:rsid w:val="00294D3D"/>
    <w:rsid w:val="00294ED3"/>
    <w:rsid w:val="00295023"/>
    <w:rsid w:val="002950F4"/>
    <w:rsid w:val="00295112"/>
    <w:rsid w:val="0029511E"/>
    <w:rsid w:val="0029518C"/>
    <w:rsid w:val="0029520B"/>
    <w:rsid w:val="002953F0"/>
    <w:rsid w:val="002953F8"/>
    <w:rsid w:val="00295457"/>
    <w:rsid w:val="002954C5"/>
    <w:rsid w:val="0029555C"/>
    <w:rsid w:val="002956A9"/>
    <w:rsid w:val="002957AB"/>
    <w:rsid w:val="0029582A"/>
    <w:rsid w:val="00295953"/>
    <w:rsid w:val="0029595D"/>
    <w:rsid w:val="00295986"/>
    <w:rsid w:val="0029599B"/>
    <w:rsid w:val="002959FA"/>
    <w:rsid w:val="00295A41"/>
    <w:rsid w:val="00295C62"/>
    <w:rsid w:val="00295E26"/>
    <w:rsid w:val="00295EBD"/>
    <w:rsid w:val="0029625D"/>
    <w:rsid w:val="0029654A"/>
    <w:rsid w:val="00296582"/>
    <w:rsid w:val="002967D9"/>
    <w:rsid w:val="00296940"/>
    <w:rsid w:val="00296A5F"/>
    <w:rsid w:val="00296BCB"/>
    <w:rsid w:val="00296E0D"/>
    <w:rsid w:val="00296F6C"/>
    <w:rsid w:val="00296F90"/>
    <w:rsid w:val="00296FDC"/>
    <w:rsid w:val="00297157"/>
    <w:rsid w:val="002971E8"/>
    <w:rsid w:val="002972C9"/>
    <w:rsid w:val="0029736F"/>
    <w:rsid w:val="0029745F"/>
    <w:rsid w:val="00297562"/>
    <w:rsid w:val="002976B0"/>
    <w:rsid w:val="0029786D"/>
    <w:rsid w:val="00297A73"/>
    <w:rsid w:val="00297AE9"/>
    <w:rsid w:val="00297C0D"/>
    <w:rsid w:val="00297CDD"/>
    <w:rsid w:val="00297F75"/>
    <w:rsid w:val="002A0242"/>
    <w:rsid w:val="002A02DD"/>
    <w:rsid w:val="002A03B4"/>
    <w:rsid w:val="002A049E"/>
    <w:rsid w:val="002A06A6"/>
    <w:rsid w:val="002A0A80"/>
    <w:rsid w:val="002A0BE6"/>
    <w:rsid w:val="002A0D9C"/>
    <w:rsid w:val="002A0E1D"/>
    <w:rsid w:val="002A0FD3"/>
    <w:rsid w:val="002A12D5"/>
    <w:rsid w:val="002A12F1"/>
    <w:rsid w:val="002A1327"/>
    <w:rsid w:val="002A1411"/>
    <w:rsid w:val="002A1521"/>
    <w:rsid w:val="002A154A"/>
    <w:rsid w:val="002A1579"/>
    <w:rsid w:val="002A17DF"/>
    <w:rsid w:val="002A189A"/>
    <w:rsid w:val="002A19E7"/>
    <w:rsid w:val="002A1AEA"/>
    <w:rsid w:val="002A1B7D"/>
    <w:rsid w:val="002A1D8A"/>
    <w:rsid w:val="002A1EF4"/>
    <w:rsid w:val="002A1F88"/>
    <w:rsid w:val="002A20C2"/>
    <w:rsid w:val="002A2241"/>
    <w:rsid w:val="002A228B"/>
    <w:rsid w:val="002A22B4"/>
    <w:rsid w:val="002A22FB"/>
    <w:rsid w:val="002A2303"/>
    <w:rsid w:val="002A294D"/>
    <w:rsid w:val="002A2A91"/>
    <w:rsid w:val="002A2B49"/>
    <w:rsid w:val="002A2C12"/>
    <w:rsid w:val="002A2C21"/>
    <w:rsid w:val="002A2D14"/>
    <w:rsid w:val="002A2D97"/>
    <w:rsid w:val="002A2ED1"/>
    <w:rsid w:val="002A2F70"/>
    <w:rsid w:val="002A2F81"/>
    <w:rsid w:val="002A2FEE"/>
    <w:rsid w:val="002A3041"/>
    <w:rsid w:val="002A3151"/>
    <w:rsid w:val="002A3223"/>
    <w:rsid w:val="002A3243"/>
    <w:rsid w:val="002A3299"/>
    <w:rsid w:val="002A3326"/>
    <w:rsid w:val="002A3392"/>
    <w:rsid w:val="002A33B7"/>
    <w:rsid w:val="002A33C0"/>
    <w:rsid w:val="002A34FB"/>
    <w:rsid w:val="002A354D"/>
    <w:rsid w:val="002A35BA"/>
    <w:rsid w:val="002A360D"/>
    <w:rsid w:val="002A369D"/>
    <w:rsid w:val="002A372E"/>
    <w:rsid w:val="002A3815"/>
    <w:rsid w:val="002A38A8"/>
    <w:rsid w:val="002A38C8"/>
    <w:rsid w:val="002A3940"/>
    <w:rsid w:val="002A39A8"/>
    <w:rsid w:val="002A39CB"/>
    <w:rsid w:val="002A3BD4"/>
    <w:rsid w:val="002A3C78"/>
    <w:rsid w:val="002A3C9B"/>
    <w:rsid w:val="002A3D14"/>
    <w:rsid w:val="002A40CB"/>
    <w:rsid w:val="002A437F"/>
    <w:rsid w:val="002A440C"/>
    <w:rsid w:val="002A44F8"/>
    <w:rsid w:val="002A4636"/>
    <w:rsid w:val="002A49A7"/>
    <w:rsid w:val="002A4AF6"/>
    <w:rsid w:val="002A4B83"/>
    <w:rsid w:val="002A4CDA"/>
    <w:rsid w:val="002A4F0A"/>
    <w:rsid w:val="002A4FFE"/>
    <w:rsid w:val="002A522B"/>
    <w:rsid w:val="002A5334"/>
    <w:rsid w:val="002A55B9"/>
    <w:rsid w:val="002A5667"/>
    <w:rsid w:val="002A5691"/>
    <w:rsid w:val="002A56E1"/>
    <w:rsid w:val="002A56F1"/>
    <w:rsid w:val="002A576C"/>
    <w:rsid w:val="002A577A"/>
    <w:rsid w:val="002A59C5"/>
    <w:rsid w:val="002A5AA0"/>
    <w:rsid w:val="002A5AE5"/>
    <w:rsid w:val="002A5B1C"/>
    <w:rsid w:val="002A5CC3"/>
    <w:rsid w:val="002A5F5C"/>
    <w:rsid w:val="002A5F63"/>
    <w:rsid w:val="002A5F7C"/>
    <w:rsid w:val="002A5FC8"/>
    <w:rsid w:val="002A5FDF"/>
    <w:rsid w:val="002A60A9"/>
    <w:rsid w:val="002A60F5"/>
    <w:rsid w:val="002A615D"/>
    <w:rsid w:val="002A62DE"/>
    <w:rsid w:val="002A643C"/>
    <w:rsid w:val="002A6470"/>
    <w:rsid w:val="002A6842"/>
    <w:rsid w:val="002A6849"/>
    <w:rsid w:val="002A68E6"/>
    <w:rsid w:val="002A6A13"/>
    <w:rsid w:val="002A6B0E"/>
    <w:rsid w:val="002A6BFD"/>
    <w:rsid w:val="002A6C4D"/>
    <w:rsid w:val="002A6C6B"/>
    <w:rsid w:val="002A6D01"/>
    <w:rsid w:val="002A6F99"/>
    <w:rsid w:val="002A6FAE"/>
    <w:rsid w:val="002A7099"/>
    <w:rsid w:val="002A71B1"/>
    <w:rsid w:val="002A73AE"/>
    <w:rsid w:val="002A769C"/>
    <w:rsid w:val="002A7718"/>
    <w:rsid w:val="002A795B"/>
    <w:rsid w:val="002A79B3"/>
    <w:rsid w:val="002A7AA8"/>
    <w:rsid w:val="002A7B11"/>
    <w:rsid w:val="002A7B81"/>
    <w:rsid w:val="002A7D06"/>
    <w:rsid w:val="002A7DEA"/>
    <w:rsid w:val="002A7E50"/>
    <w:rsid w:val="002A7E72"/>
    <w:rsid w:val="002A7E9C"/>
    <w:rsid w:val="002B0089"/>
    <w:rsid w:val="002B0207"/>
    <w:rsid w:val="002B0279"/>
    <w:rsid w:val="002B0371"/>
    <w:rsid w:val="002B0512"/>
    <w:rsid w:val="002B0537"/>
    <w:rsid w:val="002B0607"/>
    <w:rsid w:val="002B0759"/>
    <w:rsid w:val="002B0787"/>
    <w:rsid w:val="002B0A9C"/>
    <w:rsid w:val="002B0AC4"/>
    <w:rsid w:val="002B0C09"/>
    <w:rsid w:val="002B0D98"/>
    <w:rsid w:val="002B0DBA"/>
    <w:rsid w:val="002B122C"/>
    <w:rsid w:val="002B129A"/>
    <w:rsid w:val="002B13DD"/>
    <w:rsid w:val="002B1503"/>
    <w:rsid w:val="002B155D"/>
    <w:rsid w:val="002B166E"/>
    <w:rsid w:val="002B1743"/>
    <w:rsid w:val="002B1885"/>
    <w:rsid w:val="002B19E9"/>
    <w:rsid w:val="002B1A60"/>
    <w:rsid w:val="002B1C5D"/>
    <w:rsid w:val="002B1D61"/>
    <w:rsid w:val="002B1DB7"/>
    <w:rsid w:val="002B20F4"/>
    <w:rsid w:val="002B24C1"/>
    <w:rsid w:val="002B24EC"/>
    <w:rsid w:val="002B254F"/>
    <w:rsid w:val="002B2592"/>
    <w:rsid w:val="002B25AF"/>
    <w:rsid w:val="002B25C5"/>
    <w:rsid w:val="002B296C"/>
    <w:rsid w:val="002B29F9"/>
    <w:rsid w:val="002B2A60"/>
    <w:rsid w:val="002B2AF9"/>
    <w:rsid w:val="002B2C7B"/>
    <w:rsid w:val="002B2DD6"/>
    <w:rsid w:val="002B2F4D"/>
    <w:rsid w:val="002B311A"/>
    <w:rsid w:val="002B3299"/>
    <w:rsid w:val="002B329C"/>
    <w:rsid w:val="002B3300"/>
    <w:rsid w:val="002B3444"/>
    <w:rsid w:val="002B3529"/>
    <w:rsid w:val="002B3539"/>
    <w:rsid w:val="002B3595"/>
    <w:rsid w:val="002B35DF"/>
    <w:rsid w:val="002B3636"/>
    <w:rsid w:val="002B373F"/>
    <w:rsid w:val="002B3821"/>
    <w:rsid w:val="002B382B"/>
    <w:rsid w:val="002B39EA"/>
    <w:rsid w:val="002B3E23"/>
    <w:rsid w:val="002B3E87"/>
    <w:rsid w:val="002B3EAA"/>
    <w:rsid w:val="002B439F"/>
    <w:rsid w:val="002B45A9"/>
    <w:rsid w:val="002B47E3"/>
    <w:rsid w:val="002B4914"/>
    <w:rsid w:val="002B49E6"/>
    <w:rsid w:val="002B4A4C"/>
    <w:rsid w:val="002B4A99"/>
    <w:rsid w:val="002B4BC5"/>
    <w:rsid w:val="002B4E6B"/>
    <w:rsid w:val="002B5032"/>
    <w:rsid w:val="002B5075"/>
    <w:rsid w:val="002B50EA"/>
    <w:rsid w:val="002B52AB"/>
    <w:rsid w:val="002B52D2"/>
    <w:rsid w:val="002B53D0"/>
    <w:rsid w:val="002B541F"/>
    <w:rsid w:val="002B54A6"/>
    <w:rsid w:val="002B551B"/>
    <w:rsid w:val="002B5617"/>
    <w:rsid w:val="002B562F"/>
    <w:rsid w:val="002B56F3"/>
    <w:rsid w:val="002B56F5"/>
    <w:rsid w:val="002B5AE6"/>
    <w:rsid w:val="002B5BBA"/>
    <w:rsid w:val="002B5BCA"/>
    <w:rsid w:val="002B5CA8"/>
    <w:rsid w:val="002B5FAD"/>
    <w:rsid w:val="002B5FCB"/>
    <w:rsid w:val="002B616F"/>
    <w:rsid w:val="002B62AB"/>
    <w:rsid w:val="002B6580"/>
    <w:rsid w:val="002B66E1"/>
    <w:rsid w:val="002B67E5"/>
    <w:rsid w:val="002B68F7"/>
    <w:rsid w:val="002B6ACB"/>
    <w:rsid w:val="002B6AD7"/>
    <w:rsid w:val="002B6AEC"/>
    <w:rsid w:val="002B6B6E"/>
    <w:rsid w:val="002B6BD7"/>
    <w:rsid w:val="002B6C12"/>
    <w:rsid w:val="002B6C2E"/>
    <w:rsid w:val="002B6D56"/>
    <w:rsid w:val="002B6F30"/>
    <w:rsid w:val="002B71E8"/>
    <w:rsid w:val="002B723D"/>
    <w:rsid w:val="002B7247"/>
    <w:rsid w:val="002B724A"/>
    <w:rsid w:val="002B72A2"/>
    <w:rsid w:val="002B74E1"/>
    <w:rsid w:val="002B7520"/>
    <w:rsid w:val="002B75F7"/>
    <w:rsid w:val="002B75FC"/>
    <w:rsid w:val="002B768B"/>
    <w:rsid w:val="002B76AC"/>
    <w:rsid w:val="002B7879"/>
    <w:rsid w:val="002B78DF"/>
    <w:rsid w:val="002B7996"/>
    <w:rsid w:val="002B79F8"/>
    <w:rsid w:val="002B7A52"/>
    <w:rsid w:val="002B7A60"/>
    <w:rsid w:val="002B7A67"/>
    <w:rsid w:val="002B7A7C"/>
    <w:rsid w:val="002B7B52"/>
    <w:rsid w:val="002B7B87"/>
    <w:rsid w:val="002B7C28"/>
    <w:rsid w:val="002B7C5C"/>
    <w:rsid w:val="002B7CA9"/>
    <w:rsid w:val="002B7D06"/>
    <w:rsid w:val="002B7D27"/>
    <w:rsid w:val="002B7E8B"/>
    <w:rsid w:val="002B7EA3"/>
    <w:rsid w:val="002C01EC"/>
    <w:rsid w:val="002C030A"/>
    <w:rsid w:val="002C0323"/>
    <w:rsid w:val="002C03B1"/>
    <w:rsid w:val="002C03DD"/>
    <w:rsid w:val="002C03EC"/>
    <w:rsid w:val="002C03F8"/>
    <w:rsid w:val="002C068A"/>
    <w:rsid w:val="002C08A9"/>
    <w:rsid w:val="002C0A12"/>
    <w:rsid w:val="002C0A2F"/>
    <w:rsid w:val="002C0ADB"/>
    <w:rsid w:val="002C0C7B"/>
    <w:rsid w:val="002C0C88"/>
    <w:rsid w:val="002C0CDA"/>
    <w:rsid w:val="002C0E17"/>
    <w:rsid w:val="002C0EC8"/>
    <w:rsid w:val="002C0EF7"/>
    <w:rsid w:val="002C0F80"/>
    <w:rsid w:val="002C103C"/>
    <w:rsid w:val="002C1276"/>
    <w:rsid w:val="002C1290"/>
    <w:rsid w:val="002C129E"/>
    <w:rsid w:val="002C1459"/>
    <w:rsid w:val="002C1664"/>
    <w:rsid w:val="002C16A4"/>
    <w:rsid w:val="002C19AB"/>
    <w:rsid w:val="002C19CB"/>
    <w:rsid w:val="002C19EC"/>
    <w:rsid w:val="002C1BFC"/>
    <w:rsid w:val="002C1CB3"/>
    <w:rsid w:val="002C1D31"/>
    <w:rsid w:val="002C1D71"/>
    <w:rsid w:val="002C1DA7"/>
    <w:rsid w:val="002C1DDD"/>
    <w:rsid w:val="002C1E0C"/>
    <w:rsid w:val="002C2000"/>
    <w:rsid w:val="002C21D3"/>
    <w:rsid w:val="002C2410"/>
    <w:rsid w:val="002C25C5"/>
    <w:rsid w:val="002C267B"/>
    <w:rsid w:val="002C2808"/>
    <w:rsid w:val="002C29AA"/>
    <w:rsid w:val="002C29B3"/>
    <w:rsid w:val="002C2A61"/>
    <w:rsid w:val="002C2AA9"/>
    <w:rsid w:val="002C2B86"/>
    <w:rsid w:val="002C2BC6"/>
    <w:rsid w:val="002C2CB4"/>
    <w:rsid w:val="002C2F7E"/>
    <w:rsid w:val="002C319D"/>
    <w:rsid w:val="002C3251"/>
    <w:rsid w:val="002C340D"/>
    <w:rsid w:val="002C3783"/>
    <w:rsid w:val="002C3AF4"/>
    <w:rsid w:val="002C3CD1"/>
    <w:rsid w:val="002C3D47"/>
    <w:rsid w:val="002C3E2B"/>
    <w:rsid w:val="002C3E8C"/>
    <w:rsid w:val="002C3F48"/>
    <w:rsid w:val="002C4155"/>
    <w:rsid w:val="002C43B0"/>
    <w:rsid w:val="002C448F"/>
    <w:rsid w:val="002C4583"/>
    <w:rsid w:val="002C463D"/>
    <w:rsid w:val="002C4B14"/>
    <w:rsid w:val="002C4B8D"/>
    <w:rsid w:val="002C4BAF"/>
    <w:rsid w:val="002C4C29"/>
    <w:rsid w:val="002C4DC4"/>
    <w:rsid w:val="002C4E2F"/>
    <w:rsid w:val="002C4E66"/>
    <w:rsid w:val="002C51AF"/>
    <w:rsid w:val="002C5352"/>
    <w:rsid w:val="002C53B6"/>
    <w:rsid w:val="002C5444"/>
    <w:rsid w:val="002C5508"/>
    <w:rsid w:val="002C58D4"/>
    <w:rsid w:val="002C5A69"/>
    <w:rsid w:val="002C5C9E"/>
    <w:rsid w:val="002C5CF5"/>
    <w:rsid w:val="002C601B"/>
    <w:rsid w:val="002C611E"/>
    <w:rsid w:val="002C62D6"/>
    <w:rsid w:val="002C6451"/>
    <w:rsid w:val="002C64DF"/>
    <w:rsid w:val="002C65CA"/>
    <w:rsid w:val="002C66A7"/>
    <w:rsid w:val="002C685F"/>
    <w:rsid w:val="002C68C1"/>
    <w:rsid w:val="002C68D9"/>
    <w:rsid w:val="002C6A70"/>
    <w:rsid w:val="002C6B5B"/>
    <w:rsid w:val="002C6B69"/>
    <w:rsid w:val="002C6C5F"/>
    <w:rsid w:val="002C6D0B"/>
    <w:rsid w:val="002C7007"/>
    <w:rsid w:val="002C70DD"/>
    <w:rsid w:val="002C7142"/>
    <w:rsid w:val="002C716E"/>
    <w:rsid w:val="002C742C"/>
    <w:rsid w:val="002C761A"/>
    <w:rsid w:val="002C76A7"/>
    <w:rsid w:val="002C7A0E"/>
    <w:rsid w:val="002C7C9C"/>
    <w:rsid w:val="002C7D91"/>
    <w:rsid w:val="002C7F05"/>
    <w:rsid w:val="002D0119"/>
    <w:rsid w:val="002D0192"/>
    <w:rsid w:val="002D027E"/>
    <w:rsid w:val="002D0306"/>
    <w:rsid w:val="002D032B"/>
    <w:rsid w:val="002D0607"/>
    <w:rsid w:val="002D0684"/>
    <w:rsid w:val="002D08D4"/>
    <w:rsid w:val="002D0A25"/>
    <w:rsid w:val="002D0B17"/>
    <w:rsid w:val="002D0CCB"/>
    <w:rsid w:val="002D0D24"/>
    <w:rsid w:val="002D0F08"/>
    <w:rsid w:val="002D0FC4"/>
    <w:rsid w:val="002D1040"/>
    <w:rsid w:val="002D1077"/>
    <w:rsid w:val="002D1169"/>
    <w:rsid w:val="002D11B6"/>
    <w:rsid w:val="002D137C"/>
    <w:rsid w:val="002D13C4"/>
    <w:rsid w:val="002D1434"/>
    <w:rsid w:val="002D15B7"/>
    <w:rsid w:val="002D1628"/>
    <w:rsid w:val="002D167C"/>
    <w:rsid w:val="002D176E"/>
    <w:rsid w:val="002D17DF"/>
    <w:rsid w:val="002D198D"/>
    <w:rsid w:val="002D1A51"/>
    <w:rsid w:val="002D1B30"/>
    <w:rsid w:val="002D1C01"/>
    <w:rsid w:val="002D1E35"/>
    <w:rsid w:val="002D2174"/>
    <w:rsid w:val="002D218E"/>
    <w:rsid w:val="002D21B5"/>
    <w:rsid w:val="002D22A0"/>
    <w:rsid w:val="002D263B"/>
    <w:rsid w:val="002D26F8"/>
    <w:rsid w:val="002D277C"/>
    <w:rsid w:val="002D2A2D"/>
    <w:rsid w:val="002D2A75"/>
    <w:rsid w:val="002D2B06"/>
    <w:rsid w:val="002D2CAE"/>
    <w:rsid w:val="002D2CF7"/>
    <w:rsid w:val="002D2E38"/>
    <w:rsid w:val="002D2FB9"/>
    <w:rsid w:val="002D303D"/>
    <w:rsid w:val="002D3050"/>
    <w:rsid w:val="002D33A2"/>
    <w:rsid w:val="002D3427"/>
    <w:rsid w:val="002D347F"/>
    <w:rsid w:val="002D3635"/>
    <w:rsid w:val="002D380F"/>
    <w:rsid w:val="002D38AC"/>
    <w:rsid w:val="002D398E"/>
    <w:rsid w:val="002D3BBD"/>
    <w:rsid w:val="002D3D53"/>
    <w:rsid w:val="002D41F9"/>
    <w:rsid w:val="002D4677"/>
    <w:rsid w:val="002D4780"/>
    <w:rsid w:val="002D480E"/>
    <w:rsid w:val="002D48AF"/>
    <w:rsid w:val="002D4B07"/>
    <w:rsid w:val="002D4BC6"/>
    <w:rsid w:val="002D4D53"/>
    <w:rsid w:val="002D4EC2"/>
    <w:rsid w:val="002D508A"/>
    <w:rsid w:val="002D5148"/>
    <w:rsid w:val="002D52FD"/>
    <w:rsid w:val="002D5710"/>
    <w:rsid w:val="002D5AD9"/>
    <w:rsid w:val="002D5B5B"/>
    <w:rsid w:val="002D5C01"/>
    <w:rsid w:val="002D5E02"/>
    <w:rsid w:val="002D5E1B"/>
    <w:rsid w:val="002D6042"/>
    <w:rsid w:val="002D6344"/>
    <w:rsid w:val="002D636E"/>
    <w:rsid w:val="002D6676"/>
    <w:rsid w:val="002D66A8"/>
    <w:rsid w:val="002D67CE"/>
    <w:rsid w:val="002D6832"/>
    <w:rsid w:val="002D6959"/>
    <w:rsid w:val="002D6992"/>
    <w:rsid w:val="002D69C0"/>
    <w:rsid w:val="002D6A5B"/>
    <w:rsid w:val="002D6B12"/>
    <w:rsid w:val="002D6BE0"/>
    <w:rsid w:val="002D6CCB"/>
    <w:rsid w:val="002D6DF2"/>
    <w:rsid w:val="002D6E42"/>
    <w:rsid w:val="002D6FEF"/>
    <w:rsid w:val="002D71BB"/>
    <w:rsid w:val="002D7565"/>
    <w:rsid w:val="002D75B0"/>
    <w:rsid w:val="002D7867"/>
    <w:rsid w:val="002D7996"/>
    <w:rsid w:val="002D7D6D"/>
    <w:rsid w:val="002D7E9C"/>
    <w:rsid w:val="002D7F76"/>
    <w:rsid w:val="002E0034"/>
    <w:rsid w:val="002E0192"/>
    <w:rsid w:val="002E0212"/>
    <w:rsid w:val="002E0283"/>
    <w:rsid w:val="002E02FC"/>
    <w:rsid w:val="002E0419"/>
    <w:rsid w:val="002E058A"/>
    <w:rsid w:val="002E0843"/>
    <w:rsid w:val="002E093F"/>
    <w:rsid w:val="002E0A06"/>
    <w:rsid w:val="002E0A08"/>
    <w:rsid w:val="002E0C5C"/>
    <w:rsid w:val="002E0C89"/>
    <w:rsid w:val="002E0E51"/>
    <w:rsid w:val="002E0F53"/>
    <w:rsid w:val="002E0F6B"/>
    <w:rsid w:val="002E102D"/>
    <w:rsid w:val="002E117B"/>
    <w:rsid w:val="002E11FF"/>
    <w:rsid w:val="002E12A5"/>
    <w:rsid w:val="002E1327"/>
    <w:rsid w:val="002E136E"/>
    <w:rsid w:val="002E150F"/>
    <w:rsid w:val="002E1535"/>
    <w:rsid w:val="002E170D"/>
    <w:rsid w:val="002E1BDC"/>
    <w:rsid w:val="002E1BF9"/>
    <w:rsid w:val="002E1DEF"/>
    <w:rsid w:val="002E2084"/>
    <w:rsid w:val="002E22D9"/>
    <w:rsid w:val="002E231D"/>
    <w:rsid w:val="002E23B1"/>
    <w:rsid w:val="002E23C2"/>
    <w:rsid w:val="002E23DF"/>
    <w:rsid w:val="002E25A3"/>
    <w:rsid w:val="002E2866"/>
    <w:rsid w:val="002E28AE"/>
    <w:rsid w:val="002E28C3"/>
    <w:rsid w:val="002E2A2F"/>
    <w:rsid w:val="002E2A60"/>
    <w:rsid w:val="002E2AA7"/>
    <w:rsid w:val="002E2EBC"/>
    <w:rsid w:val="002E2FE1"/>
    <w:rsid w:val="002E301E"/>
    <w:rsid w:val="002E3285"/>
    <w:rsid w:val="002E3293"/>
    <w:rsid w:val="002E336F"/>
    <w:rsid w:val="002E3392"/>
    <w:rsid w:val="002E340F"/>
    <w:rsid w:val="002E3480"/>
    <w:rsid w:val="002E35BC"/>
    <w:rsid w:val="002E3700"/>
    <w:rsid w:val="002E39CF"/>
    <w:rsid w:val="002E3B2F"/>
    <w:rsid w:val="002E3B92"/>
    <w:rsid w:val="002E3BD3"/>
    <w:rsid w:val="002E3D92"/>
    <w:rsid w:val="002E3EC7"/>
    <w:rsid w:val="002E3EF1"/>
    <w:rsid w:val="002E3F5C"/>
    <w:rsid w:val="002E4024"/>
    <w:rsid w:val="002E4150"/>
    <w:rsid w:val="002E4222"/>
    <w:rsid w:val="002E44E5"/>
    <w:rsid w:val="002E468E"/>
    <w:rsid w:val="002E4841"/>
    <w:rsid w:val="002E485D"/>
    <w:rsid w:val="002E48B6"/>
    <w:rsid w:val="002E49B1"/>
    <w:rsid w:val="002E4A1A"/>
    <w:rsid w:val="002E4B87"/>
    <w:rsid w:val="002E4D3D"/>
    <w:rsid w:val="002E4D90"/>
    <w:rsid w:val="002E4E34"/>
    <w:rsid w:val="002E4EC9"/>
    <w:rsid w:val="002E4FD5"/>
    <w:rsid w:val="002E519E"/>
    <w:rsid w:val="002E51AE"/>
    <w:rsid w:val="002E51EA"/>
    <w:rsid w:val="002E51F1"/>
    <w:rsid w:val="002E521C"/>
    <w:rsid w:val="002E52FD"/>
    <w:rsid w:val="002E5422"/>
    <w:rsid w:val="002E56BA"/>
    <w:rsid w:val="002E56E7"/>
    <w:rsid w:val="002E59E2"/>
    <w:rsid w:val="002E5B21"/>
    <w:rsid w:val="002E5CF9"/>
    <w:rsid w:val="002E5D4B"/>
    <w:rsid w:val="002E5D75"/>
    <w:rsid w:val="002E5DA0"/>
    <w:rsid w:val="002E5DEA"/>
    <w:rsid w:val="002E5DEE"/>
    <w:rsid w:val="002E5DF5"/>
    <w:rsid w:val="002E5E53"/>
    <w:rsid w:val="002E5F30"/>
    <w:rsid w:val="002E5F5A"/>
    <w:rsid w:val="002E5FC1"/>
    <w:rsid w:val="002E5FD7"/>
    <w:rsid w:val="002E6021"/>
    <w:rsid w:val="002E6051"/>
    <w:rsid w:val="002E616E"/>
    <w:rsid w:val="002E6334"/>
    <w:rsid w:val="002E6377"/>
    <w:rsid w:val="002E64F0"/>
    <w:rsid w:val="002E6663"/>
    <w:rsid w:val="002E6690"/>
    <w:rsid w:val="002E66CE"/>
    <w:rsid w:val="002E6790"/>
    <w:rsid w:val="002E67E7"/>
    <w:rsid w:val="002E6815"/>
    <w:rsid w:val="002E68CB"/>
    <w:rsid w:val="002E690B"/>
    <w:rsid w:val="002E697B"/>
    <w:rsid w:val="002E6BD1"/>
    <w:rsid w:val="002E6CB1"/>
    <w:rsid w:val="002E6D89"/>
    <w:rsid w:val="002E6EE8"/>
    <w:rsid w:val="002E6EF2"/>
    <w:rsid w:val="002E7137"/>
    <w:rsid w:val="002E71A5"/>
    <w:rsid w:val="002E7201"/>
    <w:rsid w:val="002E724E"/>
    <w:rsid w:val="002E725C"/>
    <w:rsid w:val="002E7324"/>
    <w:rsid w:val="002E7542"/>
    <w:rsid w:val="002E759F"/>
    <w:rsid w:val="002E75A0"/>
    <w:rsid w:val="002E767A"/>
    <w:rsid w:val="002E7769"/>
    <w:rsid w:val="002E7792"/>
    <w:rsid w:val="002E7AC8"/>
    <w:rsid w:val="002E7BA4"/>
    <w:rsid w:val="002E7BD4"/>
    <w:rsid w:val="002E7D49"/>
    <w:rsid w:val="002E7D5A"/>
    <w:rsid w:val="002E7EB7"/>
    <w:rsid w:val="002E7FB0"/>
    <w:rsid w:val="002E7FCC"/>
    <w:rsid w:val="002F0132"/>
    <w:rsid w:val="002F01DE"/>
    <w:rsid w:val="002F0250"/>
    <w:rsid w:val="002F0667"/>
    <w:rsid w:val="002F07D3"/>
    <w:rsid w:val="002F0864"/>
    <w:rsid w:val="002F0946"/>
    <w:rsid w:val="002F0A2D"/>
    <w:rsid w:val="002F0A60"/>
    <w:rsid w:val="002F0B05"/>
    <w:rsid w:val="002F0B5D"/>
    <w:rsid w:val="002F0C1C"/>
    <w:rsid w:val="002F0D0F"/>
    <w:rsid w:val="002F0D6A"/>
    <w:rsid w:val="002F0D94"/>
    <w:rsid w:val="002F0EBA"/>
    <w:rsid w:val="002F0F30"/>
    <w:rsid w:val="002F10B6"/>
    <w:rsid w:val="002F10F7"/>
    <w:rsid w:val="002F111C"/>
    <w:rsid w:val="002F113D"/>
    <w:rsid w:val="002F1467"/>
    <w:rsid w:val="002F15A0"/>
    <w:rsid w:val="002F15C8"/>
    <w:rsid w:val="002F161C"/>
    <w:rsid w:val="002F186B"/>
    <w:rsid w:val="002F188D"/>
    <w:rsid w:val="002F1AE8"/>
    <w:rsid w:val="002F1B5C"/>
    <w:rsid w:val="002F1BD2"/>
    <w:rsid w:val="002F1BD3"/>
    <w:rsid w:val="002F1C26"/>
    <w:rsid w:val="002F1C46"/>
    <w:rsid w:val="002F1CE2"/>
    <w:rsid w:val="002F1CEF"/>
    <w:rsid w:val="002F1D22"/>
    <w:rsid w:val="002F1E13"/>
    <w:rsid w:val="002F1E23"/>
    <w:rsid w:val="002F1E5A"/>
    <w:rsid w:val="002F1EBE"/>
    <w:rsid w:val="002F1F8F"/>
    <w:rsid w:val="002F1FC9"/>
    <w:rsid w:val="002F215B"/>
    <w:rsid w:val="002F21AB"/>
    <w:rsid w:val="002F2265"/>
    <w:rsid w:val="002F22A7"/>
    <w:rsid w:val="002F2323"/>
    <w:rsid w:val="002F2335"/>
    <w:rsid w:val="002F234F"/>
    <w:rsid w:val="002F238D"/>
    <w:rsid w:val="002F26A6"/>
    <w:rsid w:val="002F2706"/>
    <w:rsid w:val="002F27ED"/>
    <w:rsid w:val="002F2825"/>
    <w:rsid w:val="002F29F4"/>
    <w:rsid w:val="002F2BC8"/>
    <w:rsid w:val="002F2BD7"/>
    <w:rsid w:val="002F2C38"/>
    <w:rsid w:val="002F2C54"/>
    <w:rsid w:val="002F2D19"/>
    <w:rsid w:val="002F2E67"/>
    <w:rsid w:val="002F2F01"/>
    <w:rsid w:val="002F2F3A"/>
    <w:rsid w:val="002F3008"/>
    <w:rsid w:val="002F308F"/>
    <w:rsid w:val="002F3160"/>
    <w:rsid w:val="002F31A7"/>
    <w:rsid w:val="002F347E"/>
    <w:rsid w:val="002F3583"/>
    <w:rsid w:val="002F366F"/>
    <w:rsid w:val="002F36F8"/>
    <w:rsid w:val="002F393A"/>
    <w:rsid w:val="002F39BE"/>
    <w:rsid w:val="002F3A96"/>
    <w:rsid w:val="002F3B5F"/>
    <w:rsid w:val="002F3DEE"/>
    <w:rsid w:val="002F3ECF"/>
    <w:rsid w:val="002F3F59"/>
    <w:rsid w:val="002F3F66"/>
    <w:rsid w:val="002F40A6"/>
    <w:rsid w:val="002F40B6"/>
    <w:rsid w:val="002F419B"/>
    <w:rsid w:val="002F4239"/>
    <w:rsid w:val="002F4245"/>
    <w:rsid w:val="002F43CD"/>
    <w:rsid w:val="002F4547"/>
    <w:rsid w:val="002F4618"/>
    <w:rsid w:val="002F46F1"/>
    <w:rsid w:val="002F4701"/>
    <w:rsid w:val="002F4BA6"/>
    <w:rsid w:val="002F4BCB"/>
    <w:rsid w:val="002F4C58"/>
    <w:rsid w:val="002F4C9C"/>
    <w:rsid w:val="002F4CC4"/>
    <w:rsid w:val="002F4CF7"/>
    <w:rsid w:val="002F4E25"/>
    <w:rsid w:val="002F5097"/>
    <w:rsid w:val="002F50ED"/>
    <w:rsid w:val="002F51C2"/>
    <w:rsid w:val="002F5281"/>
    <w:rsid w:val="002F52A7"/>
    <w:rsid w:val="002F53FA"/>
    <w:rsid w:val="002F5549"/>
    <w:rsid w:val="002F5762"/>
    <w:rsid w:val="002F5D21"/>
    <w:rsid w:val="002F65B5"/>
    <w:rsid w:val="002F6849"/>
    <w:rsid w:val="002F6A71"/>
    <w:rsid w:val="002F6B98"/>
    <w:rsid w:val="002F6E16"/>
    <w:rsid w:val="002F6E62"/>
    <w:rsid w:val="002F6E64"/>
    <w:rsid w:val="002F6FD2"/>
    <w:rsid w:val="002F72D4"/>
    <w:rsid w:val="002F7372"/>
    <w:rsid w:val="002F73B2"/>
    <w:rsid w:val="002F7458"/>
    <w:rsid w:val="002F7487"/>
    <w:rsid w:val="002F750D"/>
    <w:rsid w:val="002F7649"/>
    <w:rsid w:val="002F76AD"/>
    <w:rsid w:val="002F76E2"/>
    <w:rsid w:val="002F7740"/>
    <w:rsid w:val="002F7880"/>
    <w:rsid w:val="002F795C"/>
    <w:rsid w:val="002F7C7B"/>
    <w:rsid w:val="002F7D75"/>
    <w:rsid w:val="002F7E63"/>
    <w:rsid w:val="002F7E68"/>
    <w:rsid w:val="002F7EFF"/>
    <w:rsid w:val="00300257"/>
    <w:rsid w:val="003004D1"/>
    <w:rsid w:val="003005B7"/>
    <w:rsid w:val="003006ED"/>
    <w:rsid w:val="0030073B"/>
    <w:rsid w:val="0030074C"/>
    <w:rsid w:val="0030079F"/>
    <w:rsid w:val="00300814"/>
    <w:rsid w:val="00300841"/>
    <w:rsid w:val="00300945"/>
    <w:rsid w:val="00300ACE"/>
    <w:rsid w:val="00300BC2"/>
    <w:rsid w:val="00300C76"/>
    <w:rsid w:val="00300E35"/>
    <w:rsid w:val="00300F33"/>
    <w:rsid w:val="00300FC4"/>
    <w:rsid w:val="0030159D"/>
    <w:rsid w:val="00301639"/>
    <w:rsid w:val="0030168F"/>
    <w:rsid w:val="003016F1"/>
    <w:rsid w:val="003017A2"/>
    <w:rsid w:val="003017C2"/>
    <w:rsid w:val="00301869"/>
    <w:rsid w:val="00301B17"/>
    <w:rsid w:val="00301B1C"/>
    <w:rsid w:val="00301EBE"/>
    <w:rsid w:val="0030213B"/>
    <w:rsid w:val="00302500"/>
    <w:rsid w:val="00302626"/>
    <w:rsid w:val="00302804"/>
    <w:rsid w:val="00302880"/>
    <w:rsid w:val="0030299F"/>
    <w:rsid w:val="00302B0D"/>
    <w:rsid w:val="00302B9A"/>
    <w:rsid w:val="00302D09"/>
    <w:rsid w:val="00302E7A"/>
    <w:rsid w:val="00302F0D"/>
    <w:rsid w:val="0030316B"/>
    <w:rsid w:val="0030329F"/>
    <w:rsid w:val="0030336B"/>
    <w:rsid w:val="0030338B"/>
    <w:rsid w:val="0030347A"/>
    <w:rsid w:val="00303489"/>
    <w:rsid w:val="00303510"/>
    <w:rsid w:val="00303858"/>
    <w:rsid w:val="00303C52"/>
    <w:rsid w:val="00303C88"/>
    <w:rsid w:val="00303C8F"/>
    <w:rsid w:val="00303CAB"/>
    <w:rsid w:val="00304025"/>
    <w:rsid w:val="00304179"/>
    <w:rsid w:val="0030428A"/>
    <w:rsid w:val="00304376"/>
    <w:rsid w:val="0030437A"/>
    <w:rsid w:val="003043FF"/>
    <w:rsid w:val="00304469"/>
    <w:rsid w:val="003044BB"/>
    <w:rsid w:val="0030452F"/>
    <w:rsid w:val="003045AE"/>
    <w:rsid w:val="003046F7"/>
    <w:rsid w:val="003049E1"/>
    <w:rsid w:val="00304BB2"/>
    <w:rsid w:val="00304D3B"/>
    <w:rsid w:val="00304D78"/>
    <w:rsid w:val="00304DC5"/>
    <w:rsid w:val="00304E55"/>
    <w:rsid w:val="00304E85"/>
    <w:rsid w:val="00304E96"/>
    <w:rsid w:val="00304ECB"/>
    <w:rsid w:val="00304F0A"/>
    <w:rsid w:val="00304F41"/>
    <w:rsid w:val="00304FF8"/>
    <w:rsid w:val="0030511A"/>
    <w:rsid w:val="003051BE"/>
    <w:rsid w:val="003051F4"/>
    <w:rsid w:val="00305269"/>
    <w:rsid w:val="0030527C"/>
    <w:rsid w:val="003052EA"/>
    <w:rsid w:val="003053E0"/>
    <w:rsid w:val="003054F9"/>
    <w:rsid w:val="003057EC"/>
    <w:rsid w:val="00305880"/>
    <w:rsid w:val="0030588D"/>
    <w:rsid w:val="00305A65"/>
    <w:rsid w:val="00305B37"/>
    <w:rsid w:val="00305BB9"/>
    <w:rsid w:val="00305F3D"/>
    <w:rsid w:val="00305F4F"/>
    <w:rsid w:val="00305FA1"/>
    <w:rsid w:val="0030601B"/>
    <w:rsid w:val="0030603C"/>
    <w:rsid w:val="003060A8"/>
    <w:rsid w:val="00306234"/>
    <w:rsid w:val="0030626A"/>
    <w:rsid w:val="00306285"/>
    <w:rsid w:val="0030651E"/>
    <w:rsid w:val="00306574"/>
    <w:rsid w:val="0030663D"/>
    <w:rsid w:val="0030678A"/>
    <w:rsid w:val="003067FB"/>
    <w:rsid w:val="00306B8A"/>
    <w:rsid w:val="00306BFA"/>
    <w:rsid w:val="00306FC0"/>
    <w:rsid w:val="00307020"/>
    <w:rsid w:val="003070B7"/>
    <w:rsid w:val="00307373"/>
    <w:rsid w:val="003076FE"/>
    <w:rsid w:val="00307710"/>
    <w:rsid w:val="00307AA5"/>
    <w:rsid w:val="00307C17"/>
    <w:rsid w:val="00307C1A"/>
    <w:rsid w:val="00307C4A"/>
    <w:rsid w:val="00307E40"/>
    <w:rsid w:val="00307E58"/>
    <w:rsid w:val="00307EC2"/>
    <w:rsid w:val="00307F79"/>
    <w:rsid w:val="0031010E"/>
    <w:rsid w:val="00310119"/>
    <w:rsid w:val="003101F6"/>
    <w:rsid w:val="0031037C"/>
    <w:rsid w:val="00310688"/>
    <w:rsid w:val="003107F6"/>
    <w:rsid w:val="00310873"/>
    <w:rsid w:val="00310972"/>
    <w:rsid w:val="00310B48"/>
    <w:rsid w:val="00310C28"/>
    <w:rsid w:val="00310DBC"/>
    <w:rsid w:val="00310FF7"/>
    <w:rsid w:val="0031113C"/>
    <w:rsid w:val="00311185"/>
    <w:rsid w:val="003113D7"/>
    <w:rsid w:val="0031157C"/>
    <w:rsid w:val="00311757"/>
    <w:rsid w:val="0031178E"/>
    <w:rsid w:val="003117AC"/>
    <w:rsid w:val="00311825"/>
    <w:rsid w:val="003118BB"/>
    <w:rsid w:val="003118C2"/>
    <w:rsid w:val="00311A30"/>
    <w:rsid w:val="00311AEC"/>
    <w:rsid w:val="00311DBF"/>
    <w:rsid w:val="00311DD7"/>
    <w:rsid w:val="00311DDB"/>
    <w:rsid w:val="00312075"/>
    <w:rsid w:val="00312084"/>
    <w:rsid w:val="003121E2"/>
    <w:rsid w:val="00312410"/>
    <w:rsid w:val="003125A4"/>
    <w:rsid w:val="0031278D"/>
    <w:rsid w:val="00312AE7"/>
    <w:rsid w:val="00312C28"/>
    <w:rsid w:val="00312D82"/>
    <w:rsid w:val="00312DA1"/>
    <w:rsid w:val="00312E1B"/>
    <w:rsid w:val="00312E59"/>
    <w:rsid w:val="00312EA7"/>
    <w:rsid w:val="00313328"/>
    <w:rsid w:val="00313391"/>
    <w:rsid w:val="00313527"/>
    <w:rsid w:val="003135B3"/>
    <w:rsid w:val="003135D2"/>
    <w:rsid w:val="003136F9"/>
    <w:rsid w:val="00313765"/>
    <w:rsid w:val="00313815"/>
    <w:rsid w:val="00313916"/>
    <w:rsid w:val="00313972"/>
    <w:rsid w:val="00313CAD"/>
    <w:rsid w:val="00313D22"/>
    <w:rsid w:val="00313E0B"/>
    <w:rsid w:val="0031404E"/>
    <w:rsid w:val="00314058"/>
    <w:rsid w:val="00314147"/>
    <w:rsid w:val="0031441B"/>
    <w:rsid w:val="0031442F"/>
    <w:rsid w:val="00314491"/>
    <w:rsid w:val="00314565"/>
    <w:rsid w:val="0031466E"/>
    <w:rsid w:val="003147D0"/>
    <w:rsid w:val="0031481B"/>
    <w:rsid w:val="003149E3"/>
    <w:rsid w:val="00314A6D"/>
    <w:rsid w:val="00314A7B"/>
    <w:rsid w:val="00314B35"/>
    <w:rsid w:val="00314C0F"/>
    <w:rsid w:val="00314E2D"/>
    <w:rsid w:val="00314E65"/>
    <w:rsid w:val="0031514F"/>
    <w:rsid w:val="00315353"/>
    <w:rsid w:val="00315551"/>
    <w:rsid w:val="00315604"/>
    <w:rsid w:val="00315660"/>
    <w:rsid w:val="00315661"/>
    <w:rsid w:val="00315683"/>
    <w:rsid w:val="00315728"/>
    <w:rsid w:val="003157ED"/>
    <w:rsid w:val="00315945"/>
    <w:rsid w:val="003159A6"/>
    <w:rsid w:val="00315B36"/>
    <w:rsid w:val="0031609F"/>
    <w:rsid w:val="003160C0"/>
    <w:rsid w:val="00316149"/>
    <w:rsid w:val="00316159"/>
    <w:rsid w:val="0031677E"/>
    <w:rsid w:val="003168A9"/>
    <w:rsid w:val="00316A33"/>
    <w:rsid w:val="00316A94"/>
    <w:rsid w:val="00316AE7"/>
    <w:rsid w:val="00316B35"/>
    <w:rsid w:val="00316BEC"/>
    <w:rsid w:val="00316BF4"/>
    <w:rsid w:val="00316C2E"/>
    <w:rsid w:val="00316C62"/>
    <w:rsid w:val="00316D77"/>
    <w:rsid w:val="00316DEC"/>
    <w:rsid w:val="00316E50"/>
    <w:rsid w:val="00316E9E"/>
    <w:rsid w:val="0031700C"/>
    <w:rsid w:val="00317117"/>
    <w:rsid w:val="00317382"/>
    <w:rsid w:val="003173E0"/>
    <w:rsid w:val="00317448"/>
    <w:rsid w:val="003174D3"/>
    <w:rsid w:val="003174FF"/>
    <w:rsid w:val="00317504"/>
    <w:rsid w:val="00317783"/>
    <w:rsid w:val="0031785A"/>
    <w:rsid w:val="00317D2E"/>
    <w:rsid w:val="00317FF9"/>
    <w:rsid w:val="003201F3"/>
    <w:rsid w:val="003204D7"/>
    <w:rsid w:val="00320538"/>
    <w:rsid w:val="00320575"/>
    <w:rsid w:val="003205CB"/>
    <w:rsid w:val="0032066A"/>
    <w:rsid w:val="0032091B"/>
    <w:rsid w:val="00320B14"/>
    <w:rsid w:val="00320B96"/>
    <w:rsid w:val="00320BA0"/>
    <w:rsid w:val="00320F73"/>
    <w:rsid w:val="00320F80"/>
    <w:rsid w:val="00321209"/>
    <w:rsid w:val="00321252"/>
    <w:rsid w:val="003213DC"/>
    <w:rsid w:val="00321839"/>
    <w:rsid w:val="003218F5"/>
    <w:rsid w:val="00321905"/>
    <w:rsid w:val="00321914"/>
    <w:rsid w:val="0032193F"/>
    <w:rsid w:val="0032195B"/>
    <w:rsid w:val="00321FFE"/>
    <w:rsid w:val="00322058"/>
    <w:rsid w:val="003220C4"/>
    <w:rsid w:val="00322173"/>
    <w:rsid w:val="00322300"/>
    <w:rsid w:val="003223FB"/>
    <w:rsid w:val="00322462"/>
    <w:rsid w:val="003225B1"/>
    <w:rsid w:val="00322605"/>
    <w:rsid w:val="00322613"/>
    <w:rsid w:val="003227A4"/>
    <w:rsid w:val="00322999"/>
    <w:rsid w:val="00322A1C"/>
    <w:rsid w:val="00322AC1"/>
    <w:rsid w:val="00322EDA"/>
    <w:rsid w:val="00322EFE"/>
    <w:rsid w:val="00322FCF"/>
    <w:rsid w:val="0032336A"/>
    <w:rsid w:val="0032339D"/>
    <w:rsid w:val="0032343C"/>
    <w:rsid w:val="0032353A"/>
    <w:rsid w:val="003237C9"/>
    <w:rsid w:val="00323945"/>
    <w:rsid w:val="00323A50"/>
    <w:rsid w:val="00323B49"/>
    <w:rsid w:val="00323B73"/>
    <w:rsid w:val="00323C3D"/>
    <w:rsid w:val="00323D5C"/>
    <w:rsid w:val="00323E1E"/>
    <w:rsid w:val="00323FC6"/>
    <w:rsid w:val="00323FF9"/>
    <w:rsid w:val="00324027"/>
    <w:rsid w:val="00324116"/>
    <w:rsid w:val="00324259"/>
    <w:rsid w:val="003243E7"/>
    <w:rsid w:val="00324578"/>
    <w:rsid w:val="0032457B"/>
    <w:rsid w:val="00324883"/>
    <w:rsid w:val="00324E52"/>
    <w:rsid w:val="00324E61"/>
    <w:rsid w:val="00324E6C"/>
    <w:rsid w:val="00324F5D"/>
    <w:rsid w:val="00324F6E"/>
    <w:rsid w:val="003250E4"/>
    <w:rsid w:val="0032515F"/>
    <w:rsid w:val="00325212"/>
    <w:rsid w:val="00325332"/>
    <w:rsid w:val="003253D1"/>
    <w:rsid w:val="00325405"/>
    <w:rsid w:val="003255B0"/>
    <w:rsid w:val="003258EB"/>
    <w:rsid w:val="00325A0B"/>
    <w:rsid w:val="00325A20"/>
    <w:rsid w:val="00325B05"/>
    <w:rsid w:val="00325B6B"/>
    <w:rsid w:val="00325E03"/>
    <w:rsid w:val="00325E80"/>
    <w:rsid w:val="00325E8D"/>
    <w:rsid w:val="003260EA"/>
    <w:rsid w:val="00326142"/>
    <w:rsid w:val="003261F4"/>
    <w:rsid w:val="003263A9"/>
    <w:rsid w:val="003267A0"/>
    <w:rsid w:val="0032683F"/>
    <w:rsid w:val="0032695D"/>
    <w:rsid w:val="00326A2F"/>
    <w:rsid w:val="00326ED2"/>
    <w:rsid w:val="00327159"/>
    <w:rsid w:val="00327254"/>
    <w:rsid w:val="00327279"/>
    <w:rsid w:val="003273C0"/>
    <w:rsid w:val="00327402"/>
    <w:rsid w:val="003274A1"/>
    <w:rsid w:val="00327608"/>
    <w:rsid w:val="0032763B"/>
    <w:rsid w:val="00327802"/>
    <w:rsid w:val="00327978"/>
    <w:rsid w:val="003279A5"/>
    <w:rsid w:val="00327A3C"/>
    <w:rsid w:val="00327CCD"/>
    <w:rsid w:val="00327CD1"/>
    <w:rsid w:val="00327D00"/>
    <w:rsid w:val="00327DA6"/>
    <w:rsid w:val="00327E14"/>
    <w:rsid w:val="00327EFA"/>
    <w:rsid w:val="0033024C"/>
    <w:rsid w:val="00330253"/>
    <w:rsid w:val="0033026C"/>
    <w:rsid w:val="003303A6"/>
    <w:rsid w:val="003304DD"/>
    <w:rsid w:val="003304E5"/>
    <w:rsid w:val="00330515"/>
    <w:rsid w:val="00330576"/>
    <w:rsid w:val="0033068D"/>
    <w:rsid w:val="003306A9"/>
    <w:rsid w:val="003306AE"/>
    <w:rsid w:val="003306B1"/>
    <w:rsid w:val="003306EB"/>
    <w:rsid w:val="00330861"/>
    <w:rsid w:val="0033092B"/>
    <w:rsid w:val="00330AA5"/>
    <w:rsid w:val="00330ACD"/>
    <w:rsid w:val="00330B01"/>
    <w:rsid w:val="00330BC8"/>
    <w:rsid w:val="00330C89"/>
    <w:rsid w:val="00330DC3"/>
    <w:rsid w:val="00330FC3"/>
    <w:rsid w:val="003310BF"/>
    <w:rsid w:val="003314EA"/>
    <w:rsid w:val="0033162F"/>
    <w:rsid w:val="0033168D"/>
    <w:rsid w:val="00331706"/>
    <w:rsid w:val="00331953"/>
    <w:rsid w:val="00331A29"/>
    <w:rsid w:val="00331A63"/>
    <w:rsid w:val="00331AF7"/>
    <w:rsid w:val="00331B14"/>
    <w:rsid w:val="00331B49"/>
    <w:rsid w:val="00331B59"/>
    <w:rsid w:val="00331DD7"/>
    <w:rsid w:val="00331E94"/>
    <w:rsid w:val="003322A7"/>
    <w:rsid w:val="0033249E"/>
    <w:rsid w:val="0033249F"/>
    <w:rsid w:val="00332566"/>
    <w:rsid w:val="0033258F"/>
    <w:rsid w:val="003326EB"/>
    <w:rsid w:val="003326EF"/>
    <w:rsid w:val="003329D9"/>
    <w:rsid w:val="00332ACB"/>
    <w:rsid w:val="00332BAB"/>
    <w:rsid w:val="00332C2C"/>
    <w:rsid w:val="00332D6F"/>
    <w:rsid w:val="00332DF2"/>
    <w:rsid w:val="00332EF8"/>
    <w:rsid w:val="00332F17"/>
    <w:rsid w:val="00332FDF"/>
    <w:rsid w:val="00333094"/>
    <w:rsid w:val="003330D9"/>
    <w:rsid w:val="00333129"/>
    <w:rsid w:val="0033316D"/>
    <w:rsid w:val="0033358A"/>
    <w:rsid w:val="003336B5"/>
    <w:rsid w:val="00333A3C"/>
    <w:rsid w:val="00333B30"/>
    <w:rsid w:val="00333C9E"/>
    <w:rsid w:val="00333F65"/>
    <w:rsid w:val="0033412A"/>
    <w:rsid w:val="0033419C"/>
    <w:rsid w:val="003341C0"/>
    <w:rsid w:val="0033443D"/>
    <w:rsid w:val="003345A2"/>
    <w:rsid w:val="00334707"/>
    <w:rsid w:val="0033482A"/>
    <w:rsid w:val="00334C35"/>
    <w:rsid w:val="00334D25"/>
    <w:rsid w:val="00335113"/>
    <w:rsid w:val="0033513D"/>
    <w:rsid w:val="00335369"/>
    <w:rsid w:val="00335407"/>
    <w:rsid w:val="003357D3"/>
    <w:rsid w:val="0033584E"/>
    <w:rsid w:val="0033588D"/>
    <w:rsid w:val="00335990"/>
    <w:rsid w:val="00335CB0"/>
    <w:rsid w:val="0033607F"/>
    <w:rsid w:val="0033609F"/>
    <w:rsid w:val="003361AC"/>
    <w:rsid w:val="003362BA"/>
    <w:rsid w:val="00336332"/>
    <w:rsid w:val="0033637B"/>
    <w:rsid w:val="00336444"/>
    <w:rsid w:val="003364AE"/>
    <w:rsid w:val="0033674B"/>
    <w:rsid w:val="0033679C"/>
    <w:rsid w:val="003367E9"/>
    <w:rsid w:val="00336849"/>
    <w:rsid w:val="003368CD"/>
    <w:rsid w:val="00336A4F"/>
    <w:rsid w:val="00336AE3"/>
    <w:rsid w:val="00336B40"/>
    <w:rsid w:val="00336B69"/>
    <w:rsid w:val="00336BEE"/>
    <w:rsid w:val="00336FB3"/>
    <w:rsid w:val="0033703D"/>
    <w:rsid w:val="003371A8"/>
    <w:rsid w:val="003371AD"/>
    <w:rsid w:val="00337230"/>
    <w:rsid w:val="00337313"/>
    <w:rsid w:val="00337697"/>
    <w:rsid w:val="00337738"/>
    <w:rsid w:val="003379C0"/>
    <w:rsid w:val="00337BB7"/>
    <w:rsid w:val="00337BF9"/>
    <w:rsid w:val="00337CAD"/>
    <w:rsid w:val="00337CF7"/>
    <w:rsid w:val="00337DEF"/>
    <w:rsid w:val="00337E11"/>
    <w:rsid w:val="00337EC1"/>
    <w:rsid w:val="00337FDB"/>
    <w:rsid w:val="00340386"/>
    <w:rsid w:val="003403D6"/>
    <w:rsid w:val="003404C4"/>
    <w:rsid w:val="003405DE"/>
    <w:rsid w:val="00340629"/>
    <w:rsid w:val="00340723"/>
    <w:rsid w:val="00340813"/>
    <w:rsid w:val="0034082E"/>
    <w:rsid w:val="0034091F"/>
    <w:rsid w:val="0034095D"/>
    <w:rsid w:val="003409B1"/>
    <w:rsid w:val="00340A03"/>
    <w:rsid w:val="00340A5D"/>
    <w:rsid w:val="00340AEC"/>
    <w:rsid w:val="00340B6C"/>
    <w:rsid w:val="00340B79"/>
    <w:rsid w:val="00340C6F"/>
    <w:rsid w:val="00341158"/>
    <w:rsid w:val="003412E4"/>
    <w:rsid w:val="003412F0"/>
    <w:rsid w:val="003412FF"/>
    <w:rsid w:val="003413CC"/>
    <w:rsid w:val="003413EC"/>
    <w:rsid w:val="003414FB"/>
    <w:rsid w:val="0034150A"/>
    <w:rsid w:val="0034157F"/>
    <w:rsid w:val="003415E5"/>
    <w:rsid w:val="00341769"/>
    <w:rsid w:val="00341895"/>
    <w:rsid w:val="0034191B"/>
    <w:rsid w:val="00341A4E"/>
    <w:rsid w:val="00341EA0"/>
    <w:rsid w:val="00341ED8"/>
    <w:rsid w:val="003425E6"/>
    <w:rsid w:val="003425F3"/>
    <w:rsid w:val="0034261B"/>
    <w:rsid w:val="003426D8"/>
    <w:rsid w:val="0034285E"/>
    <w:rsid w:val="003428F1"/>
    <w:rsid w:val="00342BF1"/>
    <w:rsid w:val="00342C33"/>
    <w:rsid w:val="00343121"/>
    <w:rsid w:val="00343422"/>
    <w:rsid w:val="003436FC"/>
    <w:rsid w:val="00343828"/>
    <w:rsid w:val="00343940"/>
    <w:rsid w:val="00343A40"/>
    <w:rsid w:val="00343AD3"/>
    <w:rsid w:val="00343B4C"/>
    <w:rsid w:val="00343C47"/>
    <w:rsid w:val="00343CD9"/>
    <w:rsid w:val="00343F2F"/>
    <w:rsid w:val="00343FCD"/>
    <w:rsid w:val="003440A9"/>
    <w:rsid w:val="00344130"/>
    <w:rsid w:val="00344306"/>
    <w:rsid w:val="003443D4"/>
    <w:rsid w:val="003443DF"/>
    <w:rsid w:val="00344433"/>
    <w:rsid w:val="003444A9"/>
    <w:rsid w:val="0034456C"/>
    <w:rsid w:val="0034457E"/>
    <w:rsid w:val="00344606"/>
    <w:rsid w:val="0034475F"/>
    <w:rsid w:val="003449A6"/>
    <w:rsid w:val="00344A0A"/>
    <w:rsid w:val="00344A10"/>
    <w:rsid w:val="00344B5D"/>
    <w:rsid w:val="00344B99"/>
    <w:rsid w:val="00344BBB"/>
    <w:rsid w:val="00344D16"/>
    <w:rsid w:val="00344D2A"/>
    <w:rsid w:val="00344DD6"/>
    <w:rsid w:val="00345170"/>
    <w:rsid w:val="00345182"/>
    <w:rsid w:val="003451A6"/>
    <w:rsid w:val="00345273"/>
    <w:rsid w:val="003452BA"/>
    <w:rsid w:val="003452CB"/>
    <w:rsid w:val="003452E8"/>
    <w:rsid w:val="003454AD"/>
    <w:rsid w:val="003454B8"/>
    <w:rsid w:val="00345560"/>
    <w:rsid w:val="00345821"/>
    <w:rsid w:val="00345952"/>
    <w:rsid w:val="00345A30"/>
    <w:rsid w:val="00345DB6"/>
    <w:rsid w:val="00345E03"/>
    <w:rsid w:val="00345E58"/>
    <w:rsid w:val="00345EF0"/>
    <w:rsid w:val="00346139"/>
    <w:rsid w:val="0034626B"/>
    <w:rsid w:val="003462A1"/>
    <w:rsid w:val="00346574"/>
    <w:rsid w:val="003465A3"/>
    <w:rsid w:val="003465E0"/>
    <w:rsid w:val="00346681"/>
    <w:rsid w:val="003466DA"/>
    <w:rsid w:val="003467C9"/>
    <w:rsid w:val="0034688C"/>
    <w:rsid w:val="0034690A"/>
    <w:rsid w:val="00346975"/>
    <w:rsid w:val="00346A66"/>
    <w:rsid w:val="00346B4A"/>
    <w:rsid w:val="00346CBC"/>
    <w:rsid w:val="00346DCA"/>
    <w:rsid w:val="00346ED9"/>
    <w:rsid w:val="00346EE0"/>
    <w:rsid w:val="00347036"/>
    <w:rsid w:val="00347090"/>
    <w:rsid w:val="0034709C"/>
    <w:rsid w:val="003471E4"/>
    <w:rsid w:val="00347218"/>
    <w:rsid w:val="0034734E"/>
    <w:rsid w:val="003473BD"/>
    <w:rsid w:val="00347461"/>
    <w:rsid w:val="003474C8"/>
    <w:rsid w:val="003474EB"/>
    <w:rsid w:val="003475FD"/>
    <w:rsid w:val="00347663"/>
    <w:rsid w:val="003476D7"/>
    <w:rsid w:val="003477F4"/>
    <w:rsid w:val="003478A4"/>
    <w:rsid w:val="00347A90"/>
    <w:rsid w:val="00347AA2"/>
    <w:rsid w:val="00347B20"/>
    <w:rsid w:val="00347B39"/>
    <w:rsid w:val="00347B8F"/>
    <w:rsid w:val="00347C27"/>
    <w:rsid w:val="00347C35"/>
    <w:rsid w:val="00347CBA"/>
    <w:rsid w:val="00347E16"/>
    <w:rsid w:val="00347FF6"/>
    <w:rsid w:val="003500BB"/>
    <w:rsid w:val="003504B7"/>
    <w:rsid w:val="0035052E"/>
    <w:rsid w:val="003505DC"/>
    <w:rsid w:val="003507D9"/>
    <w:rsid w:val="00350991"/>
    <w:rsid w:val="003509CB"/>
    <w:rsid w:val="00350C5B"/>
    <w:rsid w:val="00350EDF"/>
    <w:rsid w:val="00350FCA"/>
    <w:rsid w:val="00351002"/>
    <w:rsid w:val="00351124"/>
    <w:rsid w:val="00351215"/>
    <w:rsid w:val="0035128F"/>
    <w:rsid w:val="003512D2"/>
    <w:rsid w:val="0035162A"/>
    <w:rsid w:val="00351A27"/>
    <w:rsid w:val="00351CE3"/>
    <w:rsid w:val="00351E8B"/>
    <w:rsid w:val="00351F59"/>
    <w:rsid w:val="003522EA"/>
    <w:rsid w:val="00352310"/>
    <w:rsid w:val="00352461"/>
    <w:rsid w:val="003525DC"/>
    <w:rsid w:val="003526DA"/>
    <w:rsid w:val="0035272B"/>
    <w:rsid w:val="00352756"/>
    <w:rsid w:val="00352937"/>
    <w:rsid w:val="00352B2F"/>
    <w:rsid w:val="00352B60"/>
    <w:rsid w:val="00352BFD"/>
    <w:rsid w:val="00352CA5"/>
    <w:rsid w:val="00352D15"/>
    <w:rsid w:val="00352DDE"/>
    <w:rsid w:val="00352EC4"/>
    <w:rsid w:val="00352F31"/>
    <w:rsid w:val="00353287"/>
    <w:rsid w:val="00353432"/>
    <w:rsid w:val="003537BF"/>
    <w:rsid w:val="00353860"/>
    <w:rsid w:val="00353A10"/>
    <w:rsid w:val="00353D22"/>
    <w:rsid w:val="00353E7A"/>
    <w:rsid w:val="00353F28"/>
    <w:rsid w:val="00354106"/>
    <w:rsid w:val="00354156"/>
    <w:rsid w:val="0035421C"/>
    <w:rsid w:val="00354831"/>
    <w:rsid w:val="003548B1"/>
    <w:rsid w:val="003548DD"/>
    <w:rsid w:val="003549B1"/>
    <w:rsid w:val="003549C1"/>
    <w:rsid w:val="00354A24"/>
    <w:rsid w:val="00354A7F"/>
    <w:rsid w:val="00354B06"/>
    <w:rsid w:val="00354CA5"/>
    <w:rsid w:val="00354FAD"/>
    <w:rsid w:val="00355094"/>
    <w:rsid w:val="0035517E"/>
    <w:rsid w:val="00355228"/>
    <w:rsid w:val="003552B0"/>
    <w:rsid w:val="0035550E"/>
    <w:rsid w:val="00355536"/>
    <w:rsid w:val="00355579"/>
    <w:rsid w:val="00355723"/>
    <w:rsid w:val="0035578B"/>
    <w:rsid w:val="00355807"/>
    <w:rsid w:val="00355869"/>
    <w:rsid w:val="00355950"/>
    <w:rsid w:val="00355DA0"/>
    <w:rsid w:val="00355E62"/>
    <w:rsid w:val="00356014"/>
    <w:rsid w:val="00356170"/>
    <w:rsid w:val="003561DB"/>
    <w:rsid w:val="00356279"/>
    <w:rsid w:val="00356485"/>
    <w:rsid w:val="003564DD"/>
    <w:rsid w:val="0035650B"/>
    <w:rsid w:val="0035670F"/>
    <w:rsid w:val="003568A6"/>
    <w:rsid w:val="0035698F"/>
    <w:rsid w:val="00356A1B"/>
    <w:rsid w:val="00356B30"/>
    <w:rsid w:val="00356C4A"/>
    <w:rsid w:val="00356D78"/>
    <w:rsid w:val="00356E18"/>
    <w:rsid w:val="00356E36"/>
    <w:rsid w:val="00356FA3"/>
    <w:rsid w:val="0035709A"/>
    <w:rsid w:val="00357413"/>
    <w:rsid w:val="00357788"/>
    <w:rsid w:val="00357BA5"/>
    <w:rsid w:val="00357C0E"/>
    <w:rsid w:val="00357C3D"/>
    <w:rsid w:val="00357ED9"/>
    <w:rsid w:val="00357F6E"/>
    <w:rsid w:val="003601A0"/>
    <w:rsid w:val="00360255"/>
    <w:rsid w:val="00360275"/>
    <w:rsid w:val="003602D9"/>
    <w:rsid w:val="003603C7"/>
    <w:rsid w:val="0036055B"/>
    <w:rsid w:val="0036061E"/>
    <w:rsid w:val="00360943"/>
    <w:rsid w:val="00360BB7"/>
    <w:rsid w:val="00360BE9"/>
    <w:rsid w:val="00360D96"/>
    <w:rsid w:val="00361106"/>
    <w:rsid w:val="003611D4"/>
    <w:rsid w:val="003611F1"/>
    <w:rsid w:val="0036123C"/>
    <w:rsid w:val="003612BC"/>
    <w:rsid w:val="00361303"/>
    <w:rsid w:val="00361326"/>
    <w:rsid w:val="003613CE"/>
    <w:rsid w:val="003613F9"/>
    <w:rsid w:val="00361475"/>
    <w:rsid w:val="0036153A"/>
    <w:rsid w:val="0036153B"/>
    <w:rsid w:val="0036167B"/>
    <w:rsid w:val="003616FD"/>
    <w:rsid w:val="003617EB"/>
    <w:rsid w:val="003618BC"/>
    <w:rsid w:val="003618D2"/>
    <w:rsid w:val="003618E2"/>
    <w:rsid w:val="00361A10"/>
    <w:rsid w:val="00361A97"/>
    <w:rsid w:val="00361AF4"/>
    <w:rsid w:val="00361CD5"/>
    <w:rsid w:val="00361D4C"/>
    <w:rsid w:val="00361E10"/>
    <w:rsid w:val="00361E4E"/>
    <w:rsid w:val="00361E58"/>
    <w:rsid w:val="0036201F"/>
    <w:rsid w:val="003620A5"/>
    <w:rsid w:val="00362205"/>
    <w:rsid w:val="00362296"/>
    <w:rsid w:val="003623E4"/>
    <w:rsid w:val="00362439"/>
    <w:rsid w:val="00362487"/>
    <w:rsid w:val="003626BC"/>
    <w:rsid w:val="003626E1"/>
    <w:rsid w:val="0036279F"/>
    <w:rsid w:val="003629EC"/>
    <w:rsid w:val="00362CA9"/>
    <w:rsid w:val="00362CAC"/>
    <w:rsid w:val="00362D02"/>
    <w:rsid w:val="00362F5F"/>
    <w:rsid w:val="00363095"/>
    <w:rsid w:val="003632C0"/>
    <w:rsid w:val="00363421"/>
    <w:rsid w:val="003634A7"/>
    <w:rsid w:val="00363537"/>
    <w:rsid w:val="003635F5"/>
    <w:rsid w:val="003637AD"/>
    <w:rsid w:val="00363881"/>
    <w:rsid w:val="00363B11"/>
    <w:rsid w:val="00363B6E"/>
    <w:rsid w:val="00363C74"/>
    <w:rsid w:val="00363CCB"/>
    <w:rsid w:val="00363E47"/>
    <w:rsid w:val="00363F2F"/>
    <w:rsid w:val="00363FD4"/>
    <w:rsid w:val="0036415C"/>
    <w:rsid w:val="00364179"/>
    <w:rsid w:val="003641EE"/>
    <w:rsid w:val="0036437C"/>
    <w:rsid w:val="003644F2"/>
    <w:rsid w:val="003646BF"/>
    <w:rsid w:val="003646D2"/>
    <w:rsid w:val="0036489D"/>
    <w:rsid w:val="00364A43"/>
    <w:rsid w:val="00364AD6"/>
    <w:rsid w:val="00364CCB"/>
    <w:rsid w:val="00364CFE"/>
    <w:rsid w:val="00364E5A"/>
    <w:rsid w:val="00365019"/>
    <w:rsid w:val="0036504F"/>
    <w:rsid w:val="003650C8"/>
    <w:rsid w:val="00365186"/>
    <w:rsid w:val="003652DB"/>
    <w:rsid w:val="0036579C"/>
    <w:rsid w:val="0036580F"/>
    <w:rsid w:val="00365839"/>
    <w:rsid w:val="00365899"/>
    <w:rsid w:val="003658F2"/>
    <w:rsid w:val="003659BB"/>
    <w:rsid w:val="00365AA2"/>
    <w:rsid w:val="00365BD1"/>
    <w:rsid w:val="00365C34"/>
    <w:rsid w:val="00365C81"/>
    <w:rsid w:val="00365D17"/>
    <w:rsid w:val="00365E84"/>
    <w:rsid w:val="00365E8C"/>
    <w:rsid w:val="00365FA5"/>
    <w:rsid w:val="003660BD"/>
    <w:rsid w:val="00366214"/>
    <w:rsid w:val="00366339"/>
    <w:rsid w:val="00366341"/>
    <w:rsid w:val="00366657"/>
    <w:rsid w:val="0036670A"/>
    <w:rsid w:val="00366ACD"/>
    <w:rsid w:val="00366B93"/>
    <w:rsid w:val="00366D81"/>
    <w:rsid w:val="00366E39"/>
    <w:rsid w:val="00366F11"/>
    <w:rsid w:val="0036700F"/>
    <w:rsid w:val="003670B7"/>
    <w:rsid w:val="003672B5"/>
    <w:rsid w:val="0036739E"/>
    <w:rsid w:val="00367414"/>
    <w:rsid w:val="00367443"/>
    <w:rsid w:val="0036748C"/>
    <w:rsid w:val="0036774D"/>
    <w:rsid w:val="003677C6"/>
    <w:rsid w:val="003679B2"/>
    <w:rsid w:val="00367BFF"/>
    <w:rsid w:val="00367C2E"/>
    <w:rsid w:val="00367D5E"/>
    <w:rsid w:val="00367E45"/>
    <w:rsid w:val="00367EDF"/>
    <w:rsid w:val="00367FC2"/>
    <w:rsid w:val="0037004F"/>
    <w:rsid w:val="0037008B"/>
    <w:rsid w:val="003700A5"/>
    <w:rsid w:val="0037022D"/>
    <w:rsid w:val="00370307"/>
    <w:rsid w:val="003705E7"/>
    <w:rsid w:val="003706FA"/>
    <w:rsid w:val="003709C9"/>
    <w:rsid w:val="00370A0E"/>
    <w:rsid w:val="00370D86"/>
    <w:rsid w:val="00370E4F"/>
    <w:rsid w:val="00370E9B"/>
    <w:rsid w:val="00371039"/>
    <w:rsid w:val="00371077"/>
    <w:rsid w:val="00371191"/>
    <w:rsid w:val="0037133D"/>
    <w:rsid w:val="003713D1"/>
    <w:rsid w:val="003714FE"/>
    <w:rsid w:val="003715AE"/>
    <w:rsid w:val="003716E2"/>
    <w:rsid w:val="0037170D"/>
    <w:rsid w:val="003717CD"/>
    <w:rsid w:val="003717F3"/>
    <w:rsid w:val="00371842"/>
    <w:rsid w:val="00371860"/>
    <w:rsid w:val="00371AF9"/>
    <w:rsid w:val="00371B3C"/>
    <w:rsid w:val="00371D31"/>
    <w:rsid w:val="00371D76"/>
    <w:rsid w:val="00371E7D"/>
    <w:rsid w:val="00371F12"/>
    <w:rsid w:val="00371F22"/>
    <w:rsid w:val="00371FB0"/>
    <w:rsid w:val="00372250"/>
    <w:rsid w:val="0037227B"/>
    <w:rsid w:val="003723B2"/>
    <w:rsid w:val="00372485"/>
    <w:rsid w:val="00372639"/>
    <w:rsid w:val="003726DD"/>
    <w:rsid w:val="0037271A"/>
    <w:rsid w:val="00372933"/>
    <w:rsid w:val="00372C74"/>
    <w:rsid w:val="00372D26"/>
    <w:rsid w:val="00372D2C"/>
    <w:rsid w:val="00372E04"/>
    <w:rsid w:val="003730DA"/>
    <w:rsid w:val="00373391"/>
    <w:rsid w:val="003733E0"/>
    <w:rsid w:val="003735FA"/>
    <w:rsid w:val="00373664"/>
    <w:rsid w:val="0037366C"/>
    <w:rsid w:val="003736E6"/>
    <w:rsid w:val="003738F4"/>
    <w:rsid w:val="00373AB8"/>
    <w:rsid w:val="00373BC6"/>
    <w:rsid w:val="00373BF4"/>
    <w:rsid w:val="00373C37"/>
    <w:rsid w:val="00373DDB"/>
    <w:rsid w:val="00373E78"/>
    <w:rsid w:val="00373FC9"/>
    <w:rsid w:val="00374078"/>
    <w:rsid w:val="00374085"/>
    <w:rsid w:val="003740B1"/>
    <w:rsid w:val="003742F4"/>
    <w:rsid w:val="00374393"/>
    <w:rsid w:val="00374516"/>
    <w:rsid w:val="00374536"/>
    <w:rsid w:val="0037475B"/>
    <w:rsid w:val="0037476F"/>
    <w:rsid w:val="00374977"/>
    <w:rsid w:val="00374A1C"/>
    <w:rsid w:val="00374A2C"/>
    <w:rsid w:val="00374AC1"/>
    <w:rsid w:val="00374C3E"/>
    <w:rsid w:val="00374C54"/>
    <w:rsid w:val="00374DBB"/>
    <w:rsid w:val="00374DD4"/>
    <w:rsid w:val="00374FCC"/>
    <w:rsid w:val="0037500D"/>
    <w:rsid w:val="0037549A"/>
    <w:rsid w:val="003754BE"/>
    <w:rsid w:val="0037569A"/>
    <w:rsid w:val="003756A8"/>
    <w:rsid w:val="00375776"/>
    <w:rsid w:val="00375890"/>
    <w:rsid w:val="003758AF"/>
    <w:rsid w:val="00375953"/>
    <w:rsid w:val="0037596E"/>
    <w:rsid w:val="003759A8"/>
    <w:rsid w:val="00375ABD"/>
    <w:rsid w:val="00375ABF"/>
    <w:rsid w:val="00375CE9"/>
    <w:rsid w:val="00375DBD"/>
    <w:rsid w:val="00375EC2"/>
    <w:rsid w:val="00375EFF"/>
    <w:rsid w:val="00375F07"/>
    <w:rsid w:val="00375F78"/>
    <w:rsid w:val="00376035"/>
    <w:rsid w:val="0037605C"/>
    <w:rsid w:val="0037618E"/>
    <w:rsid w:val="0037619C"/>
    <w:rsid w:val="00376316"/>
    <w:rsid w:val="00376433"/>
    <w:rsid w:val="00376619"/>
    <w:rsid w:val="003766FC"/>
    <w:rsid w:val="0037698D"/>
    <w:rsid w:val="00376A85"/>
    <w:rsid w:val="00376E2D"/>
    <w:rsid w:val="003771B0"/>
    <w:rsid w:val="003771F2"/>
    <w:rsid w:val="003771FE"/>
    <w:rsid w:val="00377361"/>
    <w:rsid w:val="003773A9"/>
    <w:rsid w:val="003773AF"/>
    <w:rsid w:val="00377497"/>
    <w:rsid w:val="0037751A"/>
    <w:rsid w:val="00377587"/>
    <w:rsid w:val="003775FF"/>
    <w:rsid w:val="00377631"/>
    <w:rsid w:val="003776F3"/>
    <w:rsid w:val="00377819"/>
    <w:rsid w:val="00377B5C"/>
    <w:rsid w:val="00377E54"/>
    <w:rsid w:val="003801D0"/>
    <w:rsid w:val="003802B6"/>
    <w:rsid w:val="0038039B"/>
    <w:rsid w:val="003804B0"/>
    <w:rsid w:val="00380541"/>
    <w:rsid w:val="003805C0"/>
    <w:rsid w:val="003807D7"/>
    <w:rsid w:val="003809E6"/>
    <w:rsid w:val="00380A16"/>
    <w:rsid w:val="00380A3A"/>
    <w:rsid w:val="00380A4D"/>
    <w:rsid w:val="003810D5"/>
    <w:rsid w:val="00381169"/>
    <w:rsid w:val="00381391"/>
    <w:rsid w:val="003813B9"/>
    <w:rsid w:val="003815C5"/>
    <w:rsid w:val="00381811"/>
    <w:rsid w:val="00381839"/>
    <w:rsid w:val="00381915"/>
    <w:rsid w:val="00381918"/>
    <w:rsid w:val="00381921"/>
    <w:rsid w:val="0038197B"/>
    <w:rsid w:val="00381A4D"/>
    <w:rsid w:val="00381A6B"/>
    <w:rsid w:val="00381C0B"/>
    <w:rsid w:val="00381C83"/>
    <w:rsid w:val="00381E34"/>
    <w:rsid w:val="00381E38"/>
    <w:rsid w:val="003822AA"/>
    <w:rsid w:val="00382423"/>
    <w:rsid w:val="003824E7"/>
    <w:rsid w:val="0038253A"/>
    <w:rsid w:val="0038258B"/>
    <w:rsid w:val="003825A4"/>
    <w:rsid w:val="003825E7"/>
    <w:rsid w:val="0038261B"/>
    <w:rsid w:val="00382638"/>
    <w:rsid w:val="00382675"/>
    <w:rsid w:val="00382758"/>
    <w:rsid w:val="00382AF2"/>
    <w:rsid w:val="00382BA7"/>
    <w:rsid w:val="00382C5F"/>
    <w:rsid w:val="00382CB4"/>
    <w:rsid w:val="00382FE6"/>
    <w:rsid w:val="00383460"/>
    <w:rsid w:val="003834E2"/>
    <w:rsid w:val="0038383B"/>
    <w:rsid w:val="00383A4F"/>
    <w:rsid w:val="00383B62"/>
    <w:rsid w:val="00383C4E"/>
    <w:rsid w:val="00383E1C"/>
    <w:rsid w:val="00384135"/>
    <w:rsid w:val="003841D6"/>
    <w:rsid w:val="0038424F"/>
    <w:rsid w:val="0038427D"/>
    <w:rsid w:val="003842AC"/>
    <w:rsid w:val="003845ED"/>
    <w:rsid w:val="003845F4"/>
    <w:rsid w:val="0038460F"/>
    <w:rsid w:val="00384647"/>
    <w:rsid w:val="00384857"/>
    <w:rsid w:val="00384903"/>
    <w:rsid w:val="00384995"/>
    <w:rsid w:val="00384A15"/>
    <w:rsid w:val="00384AEB"/>
    <w:rsid w:val="00384EB5"/>
    <w:rsid w:val="00385189"/>
    <w:rsid w:val="003851EB"/>
    <w:rsid w:val="0038526F"/>
    <w:rsid w:val="0038541B"/>
    <w:rsid w:val="00385441"/>
    <w:rsid w:val="00385468"/>
    <w:rsid w:val="00385591"/>
    <w:rsid w:val="00385B71"/>
    <w:rsid w:val="00385E29"/>
    <w:rsid w:val="00385E2E"/>
    <w:rsid w:val="00385ECA"/>
    <w:rsid w:val="00385FCB"/>
    <w:rsid w:val="003861E4"/>
    <w:rsid w:val="003863A8"/>
    <w:rsid w:val="003863C3"/>
    <w:rsid w:val="00386426"/>
    <w:rsid w:val="00386514"/>
    <w:rsid w:val="00386811"/>
    <w:rsid w:val="00386825"/>
    <w:rsid w:val="00386A68"/>
    <w:rsid w:val="00386CE3"/>
    <w:rsid w:val="00386D5B"/>
    <w:rsid w:val="00386F03"/>
    <w:rsid w:val="00386F51"/>
    <w:rsid w:val="00386F82"/>
    <w:rsid w:val="00387018"/>
    <w:rsid w:val="003871E7"/>
    <w:rsid w:val="00387255"/>
    <w:rsid w:val="003873CC"/>
    <w:rsid w:val="00387549"/>
    <w:rsid w:val="003875BC"/>
    <w:rsid w:val="00387669"/>
    <w:rsid w:val="003879C4"/>
    <w:rsid w:val="00387A6D"/>
    <w:rsid w:val="00387BDA"/>
    <w:rsid w:val="00387C6D"/>
    <w:rsid w:val="00387E2C"/>
    <w:rsid w:val="00387F0B"/>
    <w:rsid w:val="00387F25"/>
    <w:rsid w:val="0039006C"/>
    <w:rsid w:val="003901D7"/>
    <w:rsid w:val="003902B0"/>
    <w:rsid w:val="003902ED"/>
    <w:rsid w:val="00390310"/>
    <w:rsid w:val="00390332"/>
    <w:rsid w:val="00390361"/>
    <w:rsid w:val="00390643"/>
    <w:rsid w:val="003907B0"/>
    <w:rsid w:val="00390806"/>
    <w:rsid w:val="00390810"/>
    <w:rsid w:val="0039093C"/>
    <w:rsid w:val="003909E2"/>
    <w:rsid w:val="003909F4"/>
    <w:rsid w:val="00390AC9"/>
    <w:rsid w:val="00390AFE"/>
    <w:rsid w:val="00390CEF"/>
    <w:rsid w:val="00390DE2"/>
    <w:rsid w:val="00390ED6"/>
    <w:rsid w:val="00390F6D"/>
    <w:rsid w:val="0039106D"/>
    <w:rsid w:val="003910BD"/>
    <w:rsid w:val="0039135F"/>
    <w:rsid w:val="00391717"/>
    <w:rsid w:val="0039171A"/>
    <w:rsid w:val="003917CE"/>
    <w:rsid w:val="003917E3"/>
    <w:rsid w:val="00391829"/>
    <w:rsid w:val="0039198F"/>
    <w:rsid w:val="00391A07"/>
    <w:rsid w:val="00391BB9"/>
    <w:rsid w:val="00391DB1"/>
    <w:rsid w:val="00391F3B"/>
    <w:rsid w:val="00392064"/>
    <w:rsid w:val="003921C4"/>
    <w:rsid w:val="003921E1"/>
    <w:rsid w:val="00392281"/>
    <w:rsid w:val="00392282"/>
    <w:rsid w:val="003922CD"/>
    <w:rsid w:val="003923B6"/>
    <w:rsid w:val="003923BC"/>
    <w:rsid w:val="00392417"/>
    <w:rsid w:val="003924FE"/>
    <w:rsid w:val="0039263C"/>
    <w:rsid w:val="0039266F"/>
    <w:rsid w:val="003926AF"/>
    <w:rsid w:val="00392706"/>
    <w:rsid w:val="0039272D"/>
    <w:rsid w:val="00392791"/>
    <w:rsid w:val="003927E6"/>
    <w:rsid w:val="00392819"/>
    <w:rsid w:val="0039284F"/>
    <w:rsid w:val="003928B7"/>
    <w:rsid w:val="00392927"/>
    <w:rsid w:val="00392A25"/>
    <w:rsid w:val="00392A93"/>
    <w:rsid w:val="00392C60"/>
    <w:rsid w:val="00392C8C"/>
    <w:rsid w:val="00392CE7"/>
    <w:rsid w:val="00392F24"/>
    <w:rsid w:val="00392FEC"/>
    <w:rsid w:val="00393071"/>
    <w:rsid w:val="00393142"/>
    <w:rsid w:val="003931DC"/>
    <w:rsid w:val="00393313"/>
    <w:rsid w:val="003933EB"/>
    <w:rsid w:val="00393542"/>
    <w:rsid w:val="00393588"/>
    <w:rsid w:val="00393653"/>
    <w:rsid w:val="003936BD"/>
    <w:rsid w:val="003936C3"/>
    <w:rsid w:val="00393732"/>
    <w:rsid w:val="003937D6"/>
    <w:rsid w:val="003937F9"/>
    <w:rsid w:val="00393B2E"/>
    <w:rsid w:val="00393CCD"/>
    <w:rsid w:val="00393E47"/>
    <w:rsid w:val="00393E53"/>
    <w:rsid w:val="00393E86"/>
    <w:rsid w:val="00393F29"/>
    <w:rsid w:val="003941C0"/>
    <w:rsid w:val="003943CC"/>
    <w:rsid w:val="00394488"/>
    <w:rsid w:val="003944C5"/>
    <w:rsid w:val="0039467B"/>
    <w:rsid w:val="00394AE3"/>
    <w:rsid w:val="00394C77"/>
    <w:rsid w:val="00394CDB"/>
    <w:rsid w:val="00394D06"/>
    <w:rsid w:val="00394D12"/>
    <w:rsid w:val="00394E24"/>
    <w:rsid w:val="00394FED"/>
    <w:rsid w:val="00395026"/>
    <w:rsid w:val="003951AF"/>
    <w:rsid w:val="003952BE"/>
    <w:rsid w:val="0039532C"/>
    <w:rsid w:val="0039553F"/>
    <w:rsid w:val="00395546"/>
    <w:rsid w:val="00395611"/>
    <w:rsid w:val="0039578C"/>
    <w:rsid w:val="003957A7"/>
    <w:rsid w:val="0039598D"/>
    <w:rsid w:val="00395B35"/>
    <w:rsid w:val="00395C5B"/>
    <w:rsid w:val="00395CCE"/>
    <w:rsid w:val="00395D62"/>
    <w:rsid w:val="00395D9C"/>
    <w:rsid w:val="00395F28"/>
    <w:rsid w:val="00395F97"/>
    <w:rsid w:val="0039604A"/>
    <w:rsid w:val="003960CF"/>
    <w:rsid w:val="003961AA"/>
    <w:rsid w:val="00396342"/>
    <w:rsid w:val="003964F8"/>
    <w:rsid w:val="00396502"/>
    <w:rsid w:val="00396584"/>
    <w:rsid w:val="0039658D"/>
    <w:rsid w:val="0039667A"/>
    <w:rsid w:val="003966BD"/>
    <w:rsid w:val="00396720"/>
    <w:rsid w:val="0039679F"/>
    <w:rsid w:val="003967D0"/>
    <w:rsid w:val="0039682D"/>
    <w:rsid w:val="00396ADE"/>
    <w:rsid w:val="00396D1F"/>
    <w:rsid w:val="00396D5B"/>
    <w:rsid w:val="00396E81"/>
    <w:rsid w:val="00396EFB"/>
    <w:rsid w:val="00396F99"/>
    <w:rsid w:val="00397105"/>
    <w:rsid w:val="00397409"/>
    <w:rsid w:val="00397486"/>
    <w:rsid w:val="00397500"/>
    <w:rsid w:val="00397760"/>
    <w:rsid w:val="003977E5"/>
    <w:rsid w:val="003978DE"/>
    <w:rsid w:val="003979DF"/>
    <w:rsid w:val="00397A26"/>
    <w:rsid w:val="00397A6B"/>
    <w:rsid w:val="00397B4B"/>
    <w:rsid w:val="00397C8A"/>
    <w:rsid w:val="00397DCC"/>
    <w:rsid w:val="00397E76"/>
    <w:rsid w:val="003A0153"/>
    <w:rsid w:val="003A033C"/>
    <w:rsid w:val="003A03DF"/>
    <w:rsid w:val="003A03F3"/>
    <w:rsid w:val="003A0420"/>
    <w:rsid w:val="003A048F"/>
    <w:rsid w:val="003A0587"/>
    <w:rsid w:val="003A0664"/>
    <w:rsid w:val="003A06C5"/>
    <w:rsid w:val="003A07D6"/>
    <w:rsid w:val="003A0874"/>
    <w:rsid w:val="003A08CC"/>
    <w:rsid w:val="003A08E1"/>
    <w:rsid w:val="003A0994"/>
    <w:rsid w:val="003A0AAA"/>
    <w:rsid w:val="003A0BDB"/>
    <w:rsid w:val="003A0C0F"/>
    <w:rsid w:val="003A0D7B"/>
    <w:rsid w:val="003A0DBE"/>
    <w:rsid w:val="003A0DC7"/>
    <w:rsid w:val="003A0E54"/>
    <w:rsid w:val="003A0EC1"/>
    <w:rsid w:val="003A1002"/>
    <w:rsid w:val="003A11E4"/>
    <w:rsid w:val="003A15ED"/>
    <w:rsid w:val="003A16A5"/>
    <w:rsid w:val="003A1723"/>
    <w:rsid w:val="003A1857"/>
    <w:rsid w:val="003A1AA9"/>
    <w:rsid w:val="003A1DC3"/>
    <w:rsid w:val="003A1E55"/>
    <w:rsid w:val="003A1E69"/>
    <w:rsid w:val="003A1FDD"/>
    <w:rsid w:val="003A223D"/>
    <w:rsid w:val="003A25F1"/>
    <w:rsid w:val="003A2602"/>
    <w:rsid w:val="003A268F"/>
    <w:rsid w:val="003A26FD"/>
    <w:rsid w:val="003A2757"/>
    <w:rsid w:val="003A2794"/>
    <w:rsid w:val="003A28B6"/>
    <w:rsid w:val="003A28F1"/>
    <w:rsid w:val="003A2A9B"/>
    <w:rsid w:val="003A2C68"/>
    <w:rsid w:val="003A2E7C"/>
    <w:rsid w:val="003A2F12"/>
    <w:rsid w:val="003A2F49"/>
    <w:rsid w:val="003A30BA"/>
    <w:rsid w:val="003A3143"/>
    <w:rsid w:val="003A31A2"/>
    <w:rsid w:val="003A31B5"/>
    <w:rsid w:val="003A3310"/>
    <w:rsid w:val="003A33EE"/>
    <w:rsid w:val="003A341B"/>
    <w:rsid w:val="003A34E8"/>
    <w:rsid w:val="003A350D"/>
    <w:rsid w:val="003A378B"/>
    <w:rsid w:val="003A3929"/>
    <w:rsid w:val="003A3A8A"/>
    <w:rsid w:val="003A3BF4"/>
    <w:rsid w:val="003A3C0F"/>
    <w:rsid w:val="003A3C9A"/>
    <w:rsid w:val="003A3E68"/>
    <w:rsid w:val="003A411C"/>
    <w:rsid w:val="003A413D"/>
    <w:rsid w:val="003A4259"/>
    <w:rsid w:val="003A444D"/>
    <w:rsid w:val="003A4544"/>
    <w:rsid w:val="003A45F0"/>
    <w:rsid w:val="003A4681"/>
    <w:rsid w:val="003A4751"/>
    <w:rsid w:val="003A47B6"/>
    <w:rsid w:val="003A4810"/>
    <w:rsid w:val="003A483E"/>
    <w:rsid w:val="003A4BF3"/>
    <w:rsid w:val="003A4C3B"/>
    <w:rsid w:val="003A4D12"/>
    <w:rsid w:val="003A4D2F"/>
    <w:rsid w:val="003A4D41"/>
    <w:rsid w:val="003A4F4A"/>
    <w:rsid w:val="003A4F58"/>
    <w:rsid w:val="003A4FE6"/>
    <w:rsid w:val="003A4FF9"/>
    <w:rsid w:val="003A5003"/>
    <w:rsid w:val="003A5063"/>
    <w:rsid w:val="003A5259"/>
    <w:rsid w:val="003A546F"/>
    <w:rsid w:val="003A54A7"/>
    <w:rsid w:val="003A552A"/>
    <w:rsid w:val="003A565C"/>
    <w:rsid w:val="003A56EE"/>
    <w:rsid w:val="003A5754"/>
    <w:rsid w:val="003A582D"/>
    <w:rsid w:val="003A5A17"/>
    <w:rsid w:val="003A5BC4"/>
    <w:rsid w:val="003A5BE2"/>
    <w:rsid w:val="003A5C2F"/>
    <w:rsid w:val="003A5C3E"/>
    <w:rsid w:val="003A5CE1"/>
    <w:rsid w:val="003A5E25"/>
    <w:rsid w:val="003A5E64"/>
    <w:rsid w:val="003A5FBB"/>
    <w:rsid w:val="003A617D"/>
    <w:rsid w:val="003A6218"/>
    <w:rsid w:val="003A6272"/>
    <w:rsid w:val="003A6540"/>
    <w:rsid w:val="003A6740"/>
    <w:rsid w:val="003A67BA"/>
    <w:rsid w:val="003A6980"/>
    <w:rsid w:val="003A6A02"/>
    <w:rsid w:val="003A6AEE"/>
    <w:rsid w:val="003A6B00"/>
    <w:rsid w:val="003A6CDE"/>
    <w:rsid w:val="003A6D32"/>
    <w:rsid w:val="003A6D6F"/>
    <w:rsid w:val="003A6EAF"/>
    <w:rsid w:val="003A6F3B"/>
    <w:rsid w:val="003A6FA2"/>
    <w:rsid w:val="003A7126"/>
    <w:rsid w:val="003A73B7"/>
    <w:rsid w:val="003A7437"/>
    <w:rsid w:val="003A760E"/>
    <w:rsid w:val="003A7628"/>
    <w:rsid w:val="003A7641"/>
    <w:rsid w:val="003A7813"/>
    <w:rsid w:val="003A784A"/>
    <w:rsid w:val="003A7A20"/>
    <w:rsid w:val="003A7A2A"/>
    <w:rsid w:val="003A7C8F"/>
    <w:rsid w:val="003A7D96"/>
    <w:rsid w:val="003A7EF9"/>
    <w:rsid w:val="003A7F06"/>
    <w:rsid w:val="003A7F10"/>
    <w:rsid w:val="003A7FA4"/>
    <w:rsid w:val="003A7FC5"/>
    <w:rsid w:val="003B0038"/>
    <w:rsid w:val="003B00BB"/>
    <w:rsid w:val="003B01AA"/>
    <w:rsid w:val="003B027F"/>
    <w:rsid w:val="003B02F1"/>
    <w:rsid w:val="003B05A5"/>
    <w:rsid w:val="003B063F"/>
    <w:rsid w:val="003B066B"/>
    <w:rsid w:val="003B09CF"/>
    <w:rsid w:val="003B0A2E"/>
    <w:rsid w:val="003B0E3B"/>
    <w:rsid w:val="003B107B"/>
    <w:rsid w:val="003B1146"/>
    <w:rsid w:val="003B127B"/>
    <w:rsid w:val="003B12F7"/>
    <w:rsid w:val="003B141E"/>
    <w:rsid w:val="003B14AE"/>
    <w:rsid w:val="003B1599"/>
    <w:rsid w:val="003B1716"/>
    <w:rsid w:val="003B1801"/>
    <w:rsid w:val="003B1858"/>
    <w:rsid w:val="003B18A1"/>
    <w:rsid w:val="003B18C6"/>
    <w:rsid w:val="003B1962"/>
    <w:rsid w:val="003B1A02"/>
    <w:rsid w:val="003B1ACC"/>
    <w:rsid w:val="003B1B1E"/>
    <w:rsid w:val="003B1B55"/>
    <w:rsid w:val="003B1C1D"/>
    <w:rsid w:val="003B1E1A"/>
    <w:rsid w:val="003B1ECE"/>
    <w:rsid w:val="003B213F"/>
    <w:rsid w:val="003B215E"/>
    <w:rsid w:val="003B2173"/>
    <w:rsid w:val="003B22C9"/>
    <w:rsid w:val="003B23CB"/>
    <w:rsid w:val="003B25DE"/>
    <w:rsid w:val="003B2626"/>
    <w:rsid w:val="003B2673"/>
    <w:rsid w:val="003B2717"/>
    <w:rsid w:val="003B27C8"/>
    <w:rsid w:val="003B2815"/>
    <w:rsid w:val="003B284C"/>
    <w:rsid w:val="003B299F"/>
    <w:rsid w:val="003B2A0F"/>
    <w:rsid w:val="003B2BCE"/>
    <w:rsid w:val="003B2C03"/>
    <w:rsid w:val="003B2C61"/>
    <w:rsid w:val="003B2D59"/>
    <w:rsid w:val="003B300F"/>
    <w:rsid w:val="003B3067"/>
    <w:rsid w:val="003B30BC"/>
    <w:rsid w:val="003B320A"/>
    <w:rsid w:val="003B3230"/>
    <w:rsid w:val="003B32B3"/>
    <w:rsid w:val="003B338D"/>
    <w:rsid w:val="003B345F"/>
    <w:rsid w:val="003B35C8"/>
    <w:rsid w:val="003B3628"/>
    <w:rsid w:val="003B364D"/>
    <w:rsid w:val="003B36A2"/>
    <w:rsid w:val="003B3AF5"/>
    <w:rsid w:val="003B3B6B"/>
    <w:rsid w:val="003B3B99"/>
    <w:rsid w:val="003B3E94"/>
    <w:rsid w:val="003B3EA9"/>
    <w:rsid w:val="003B3ED7"/>
    <w:rsid w:val="003B3F6F"/>
    <w:rsid w:val="003B3FF0"/>
    <w:rsid w:val="003B4213"/>
    <w:rsid w:val="003B4278"/>
    <w:rsid w:val="003B4347"/>
    <w:rsid w:val="003B4353"/>
    <w:rsid w:val="003B4387"/>
    <w:rsid w:val="003B4416"/>
    <w:rsid w:val="003B45FF"/>
    <w:rsid w:val="003B46E4"/>
    <w:rsid w:val="003B46EA"/>
    <w:rsid w:val="003B47D3"/>
    <w:rsid w:val="003B4954"/>
    <w:rsid w:val="003B499C"/>
    <w:rsid w:val="003B4A29"/>
    <w:rsid w:val="003B4BDA"/>
    <w:rsid w:val="003B4C20"/>
    <w:rsid w:val="003B4CFC"/>
    <w:rsid w:val="003B4D62"/>
    <w:rsid w:val="003B4D79"/>
    <w:rsid w:val="003B4D8C"/>
    <w:rsid w:val="003B4E5E"/>
    <w:rsid w:val="003B4F5D"/>
    <w:rsid w:val="003B4FB6"/>
    <w:rsid w:val="003B4FB8"/>
    <w:rsid w:val="003B50B3"/>
    <w:rsid w:val="003B5159"/>
    <w:rsid w:val="003B52A1"/>
    <w:rsid w:val="003B52F4"/>
    <w:rsid w:val="003B5420"/>
    <w:rsid w:val="003B5495"/>
    <w:rsid w:val="003B55AC"/>
    <w:rsid w:val="003B55F6"/>
    <w:rsid w:val="003B565A"/>
    <w:rsid w:val="003B56EF"/>
    <w:rsid w:val="003B5828"/>
    <w:rsid w:val="003B58FE"/>
    <w:rsid w:val="003B5912"/>
    <w:rsid w:val="003B593A"/>
    <w:rsid w:val="003B5B14"/>
    <w:rsid w:val="003B5BEB"/>
    <w:rsid w:val="003B5D51"/>
    <w:rsid w:val="003B5D7C"/>
    <w:rsid w:val="003B5E07"/>
    <w:rsid w:val="003B609B"/>
    <w:rsid w:val="003B6258"/>
    <w:rsid w:val="003B6378"/>
    <w:rsid w:val="003B63D0"/>
    <w:rsid w:val="003B64D9"/>
    <w:rsid w:val="003B65F3"/>
    <w:rsid w:val="003B66BA"/>
    <w:rsid w:val="003B673C"/>
    <w:rsid w:val="003B6767"/>
    <w:rsid w:val="003B67AB"/>
    <w:rsid w:val="003B68AD"/>
    <w:rsid w:val="003B69D3"/>
    <w:rsid w:val="003B6A07"/>
    <w:rsid w:val="003B6C5F"/>
    <w:rsid w:val="003B6C7F"/>
    <w:rsid w:val="003B6C9F"/>
    <w:rsid w:val="003B6DD3"/>
    <w:rsid w:val="003B6E4B"/>
    <w:rsid w:val="003B6E52"/>
    <w:rsid w:val="003B6EE0"/>
    <w:rsid w:val="003B6F2B"/>
    <w:rsid w:val="003B709A"/>
    <w:rsid w:val="003B70FF"/>
    <w:rsid w:val="003B7144"/>
    <w:rsid w:val="003B7290"/>
    <w:rsid w:val="003B7471"/>
    <w:rsid w:val="003B7475"/>
    <w:rsid w:val="003B78F7"/>
    <w:rsid w:val="003B7A5A"/>
    <w:rsid w:val="003B7BC3"/>
    <w:rsid w:val="003B7D28"/>
    <w:rsid w:val="003B7DBD"/>
    <w:rsid w:val="003B7E3C"/>
    <w:rsid w:val="003C0026"/>
    <w:rsid w:val="003C0043"/>
    <w:rsid w:val="003C00DF"/>
    <w:rsid w:val="003C01AE"/>
    <w:rsid w:val="003C0242"/>
    <w:rsid w:val="003C036A"/>
    <w:rsid w:val="003C0702"/>
    <w:rsid w:val="003C0710"/>
    <w:rsid w:val="003C08A8"/>
    <w:rsid w:val="003C094F"/>
    <w:rsid w:val="003C097C"/>
    <w:rsid w:val="003C0987"/>
    <w:rsid w:val="003C0A8B"/>
    <w:rsid w:val="003C0B48"/>
    <w:rsid w:val="003C0CAC"/>
    <w:rsid w:val="003C0EC3"/>
    <w:rsid w:val="003C0F47"/>
    <w:rsid w:val="003C0F92"/>
    <w:rsid w:val="003C1102"/>
    <w:rsid w:val="003C1311"/>
    <w:rsid w:val="003C1321"/>
    <w:rsid w:val="003C168F"/>
    <w:rsid w:val="003C16CB"/>
    <w:rsid w:val="003C1A60"/>
    <w:rsid w:val="003C1A69"/>
    <w:rsid w:val="003C1B5E"/>
    <w:rsid w:val="003C1BA4"/>
    <w:rsid w:val="003C1BC5"/>
    <w:rsid w:val="003C1D25"/>
    <w:rsid w:val="003C1D41"/>
    <w:rsid w:val="003C1D8A"/>
    <w:rsid w:val="003C1E7B"/>
    <w:rsid w:val="003C1ECA"/>
    <w:rsid w:val="003C2022"/>
    <w:rsid w:val="003C2143"/>
    <w:rsid w:val="003C2372"/>
    <w:rsid w:val="003C25E0"/>
    <w:rsid w:val="003C2632"/>
    <w:rsid w:val="003C26DF"/>
    <w:rsid w:val="003C282C"/>
    <w:rsid w:val="003C287D"/>
    <w:rsid w:val="003C2896"/>
    <w:rsid w:val="003C28BD"/>
    <w:rsid w:val="003C2976"/>
    <w:rsid w:val="003C2983"/>
    <w:rsid w:val="003C29FE"/>
    <w:rsid w:val="003C2AE6"/>
    <w:rsid w:val="003C2AF0"/>
    <w:rsid w:val="003C2B1A"/>
    <w:rsid w:val="003C2C5E"/>
    <w:rsid w:val="003C2CB3"/>
    <w:rsid w:val="003C2DEC"/>
    <w:rsid w:val="003C3081"/>
    <w:rsid w:val="003C30A1"/>
    <w:rsid w:val="003C31AA"/>
    <w:rsid w:val="003C327A"/>
    <w:rsid w:val="003C3286"/>
    <w:rsid w:val="003C32C2"/>
    <w:rsid w:val="003C3366"/>
    <w:rsid w:val="003C3388"/>
    <w:rsid w:val="003C3389"/>
    <w:rsid w:val="003C35D3"/>
    <w:rsid w:val="003C36B5"/>
    <w:rsid w:val="003C383C"/>
    <w:rsid w:val="003C3A09"/>
    <w:rsid w:val="003C3AC4"/>
    <w:rsid w:val="003C3ADE"/>
    <w:rsid w:val="003C3BD0"/>
    <w:rsid w:val="003C3E0E"/>
    <w:rsid w:val="003C3F26"/>
    <w:rsid w:val="003C3F99"/>
    <w:rsid w:val="003C4034"/>
    <w:rsid w:val="003C40C8"/>
    <w:rsid w:val="003C4403"/>
    <w:rsid w:val="003C448A"/>
    <w:rsid w:val="003C464C"/>
    <w:rsid w:val="003C472F"/>
    <w:rsid w:val="003C4833"/>
    <w:rsid w:val="003C483A"/>
    <w:rsid w:val="003C4928"/>
    <w:rsid w:val="003C4BB2"/>
    <w:rsid w:val="003C4C38"/>
    <w:rsid w:val="003C4DF2"/>
    <w:rsid w:val="003C516B"/>
    <w:rsid w:val="003C51AB"/>
    <w:rsid w:val="003C53D2"/>
    <w:rsid w:val="003C53DF"/>
    <w:rsid w:val="003C5402"/>
    <w:rsid w:val="003C556D"/>
    <w:rsid w:val="003C5648"/>
    <w:rsid w:val="003C56AC"/>
    <w:rsid w:val="003C571C"/>
    <w:rsid w:val="003C5A36"/>
    <w:rsid w:val="003C5BD2"/>
    <w:rsid w:val="003C5CD4"/>
    <w:rsid w:val="003C5E03"/>
    <w:rsid w:val="003C5EA6"/>
    <w:rsid w:val="003C61F9"/>
    <w:rsid w:val="003C6273"/>
    <w:rsid w:val="003C6314"/>
    <w:rsid w:val="003C631B"/>
    <w:rsid w:val="003C63BF"/>
    <w:rsid w:val="003C63C2"/>
    <w:rsid w:val="003C64EA"/>
    <w:rsid w:val="003C68E6"/>
    <w:rsid w:val="003C6A75"/>
    <w:rsid w:val="003C6ACB"/>
    <w:rsid w:val="003C6CAD"/>
    <w:rsid w:val="003C6CB4"/>
    <w:rsid w:val="003C7006"/>
    <w:rsid w:val="003C70D4"/>
    <w:rsid w:val="003C74A6"/>
    <w:rsid w:val="003C74F8"/>
    <w:rsid w:val="003C762D"/>
    <w:rsid w:val="003C77AA"/>
    <w:rsid w:val="003C77CF"/>
    <w:rsid w:val="003C7855"/>
    <w:rsid w:val="003C7882"/>
    <w:rsid w:val="003C7963"/>
    <w:rsid w:val="003C7A27"/>
    <w:rsid w:val="003C7BD6"/>
    <w:rsid w:val="003C7C0B"/>
    <w:rsid w:val="003C7DC7"/>
    <w:rsid w:val="003C7FEB"/>
    <w:rsid w:val="003D0094"/>
    <w:rsid w:val="003D0113"/>
    <w:rsid w:val="003D057D"/>
    <w:rsid w:val="003D0654"/>
    <w:rsid w:val="003D06D4"/>
    <w:rsid w:val="003D0C0E"/>
    <w:rsid w:val="003D0FC2"/>
    <w:rsid w:val="003D12D3"/>
    <w:rsid w:val="003D1432"/>
    <w:rsid w:val="003D16BA"/>
    <w:rsid w:val="003D1709"/>
    <w:rsid w:val="003D17FE"/>
    <w:rsid w:val="003D1816"/>
    <w:rsid w:val="003D18A2"/>
    <w:rsid w:val="003D19FC"/>
    <w:rsid w:val="003D1A45"/>
    <w:rsid w:val="003D1AC1"/>
    <w:rsid w:val="003D1B96"/>
    <w:rsid w:val="003D1FB4"/>
    <w:rsid w:val="003D2081"/>
    <w:rsid w:val="003D214B"/>
    <w:rsid w:val="003D231D"/>
    <w:rsid w:val="003D244C"/>
    <w:rsid w:val="003D25B3"/>
    <w:rsid w:val="003D2664"/>
    <w:rsid w:val="003D26B6"/>
    <w:rsid w:val="003D2777"/>
    <w:rsid w:val="003D29A6"/>
    <w:rsid w:val="003D2A3C"/>
    <w:rsid w:val="003D2BDE"/>
    <w:rsid w:val="003D2C35"/>
    <w:rsid w:val="003D2C84"/>
    <w:rsid w:val="003D2DAA"/>
    <w:rsid w:val="003D2EB8"/>
    <w:rsid w:val="003D2EC3"/>
    <w:rsid w:val="003D2EF9"/>
    <w:rsid w:val="003D2FF5"/>
    <w:rsid w:val="003D30B3"/>
    <w:rsid w:val="003D3126"/>
    <w:rsid w:val="003D31EF"/>
    <w:rsid w:val="003D327D"/>
    <w:rsid w:val="003D355E"/>
    <w:rsid w:val="003D3561"/>
    <w:rsid w:val="003D35C9"/>
    <w:rsid w:val="003D3706"/>
    <w:rsid w:val="003D3747"/>
    <w:rsid w:val="003D375C"/>
    <w:rsid w:val="003D3ADC"/>
    <w:rsid w:val="003D3AF7"/>
    <w:rsid w:val="003D3BF1"/>
    <w:rsid w:val="003D3CA8"/>
    <w:rsid w:val="003D3D88"/>
    <w:rsid w:val="003D4108"/>
    <w:rsid w:val="003D4438"/>
    <w:rsid w:val="003D44E6"/>
    <w:rsid w:val="003D45B1"/>
    <w:rsid w:val="003D45B2"/>
    <w:rsid w:val="003D469D"/>
    <w:rsid w:val="003D48E0"/>
    <w:rsid w:val="003D4939"/>
    <w:rsid w:val="003D49F4"/>
    <w:rsid w:val="003D4BC1"/>
    <w:rsid w:val="003D4C4C"/>
    <w:rsid w:val="003D4F1A"/>
    <w:rsid w:val="003D4F74"/>
    <w:rsid w:val="003D5126"/>
    <w:rsid w:val="003D5127"/>
    <w:rsid w:val="003D51DB"/>
    <w:rsid w:val="003D5414"/>
    <w:rsid w:val="003D546E"/>
    <w:rsid w:val="003D550D"/>
    <w:rsid w:val="003D5969"/>
    <w:rsid w:val="003D59C1"/>
    <w:rsid w:val="003D59C8"/>
    <w:rsid w:val="003D59D7"/>
    <w:rsid w:val="003D5A67"/>
    <w:rsid w:val="003D5CFF"/>
    <w:rsid w:val="003D5D8E"/>
    <w:rsid w:val="003D5D97"/>
    <w:rsid w:val="003D5E0E"/>
    <w:rsid w:val="003D5F6E"/>
    <w:rsid w:val="003D6025"/>
    <w:rsid w:val="003D61F0"/>
    <w:rsid w:val="003D64A0"/>
    <w:rsid w:val="003D653D"/>
    <w:rsid w:val="003D6705"/>
    <w:rsid w:val="003D6706"/>
    <w:rsid w:val="003D677F"/>
    <w:rsid w:val="003D6929"/>
    <w:rsid w:val="003D699A"/>
    <w:rsid w:val="003D6DB7"/>
    <w:rsid w:val="003D703B"/>
    <w:rsid w:val="003D7089"/>
    <w:rsid w:val="003D71DB"/>
    <w:rsid w:val="003D73FA"/>
    <w:rsid w:val="003D7424"/>
    <w:rsid w:val="003D74A3"/>
    <w:rsid w:val="003D7585"/>
    <w:rsid w:val="003D75A1"/>
    <w:rsid w:val="003D76F3"/>
    <w:rsid w:val="003D7932"/>
    <w:rsid w:val="003D7A7E"/>
    <w:rsid w:val="003D7BB1"/>
    <w:rsid w:val="003D7C0E"/>
    <w:rsid w:val="003D7C3A"/>
    <w:rsid w:val="003E001D"/>
    <w:rsid w:val="003E010D"/>
    <w:rsid w:val="003E02B8"/>
    <w:rsid w:val="003E0487"/>
    <w:rsid w:val="003E0497"/>
    <w:rsid w:val="003E0563"/>
    <w:rsid w:val="003E0794"/>
    <w:rsid w:val="003E089F"/>
    <w:rsid w:val="003E0A19"/>
    <w:rsid w:val="003E0A74"/>
    <w:rsid w:val="003E1027"/>
    <w:rsid w:val="003E1050"/>
    <w:rsid w:val="003E113A"/>
    <w:rsid w:val="003E136B"/>
    <w:rsid w:val="003E1513"/>
    <w:rsid w:val="003E15CC"/>
    <w:rsid w:val="003E166F"/>
    <w:rsid w:val="003E19AF"/>
    <w:rsid w:val="003E1A9E"/>
    <w:rsid w:val="003E1C67"/>
    <w:rsid w:val="003E1CC1"/>
    <w:rsid w:val="003E1E95"/>
    <w:rsid w:val="003E1EB8"/>
    <w:rsid w:val="003E1F44"/>
    <w:rsid w:val="003E21B3"/>
    <w:rsid w:val="003E21D9"/>
    <w:rsid w:val="003E22EA"/>
    <w:rsid w:val="003E22F5"/>
    <w:rsid w:val="003E2304"/>
    <w:rsid w:val="003E25A9"/>
    <w:rsid w:val="003E25AB"/>
    <w:rsid w:val="003E25E2"/>
    <w:rsid w:val="003E2901"/>
    <w:rsid w:val="003E2BDC"/>
    <w:rsid w:val="003E2C2D"/>
    <w:rsid w:val="003E2DAC"/>
    <w:rsid w:val="003E2F30"/>
    <w:rsid w:val="003E2F46"/>
    <w:rsid w:val="003E30C7"/>
    <w:rsid w:val="003E3224"/>
    <w:rsid w:val="003E3295"/>
    <w:rsid w:val="003E378F"/>
    <w:rsid w:val="003E37A6"/>
    <w:rsid w:val="003E38AF"/>
    <w:rsid w:val="003E3B15"/>
    <w:rsid w:val="003E3B57"/>
    <w:rsid w:val="003E3D04"/>
    <w:rsid w:val="003E3D18"/>
    <w:rsid w:val="003E3D76"/>
    <w:rsid w:val="003E3FF6"/>
    <w:rsid w:val="003E4192"/>
    <w:rsid w:val="003E4232"/>
    <w:rsid w:val="003E4311"/>
    <w:rsid w:val="003E445C"/>
    <w:rsid w:val="003E4719"/>
    <w:rsid w:val="003E4986"/>
    <w:rsid w:val="003E49B9"/>
    <w:rsid w:val="003E4AF4"/>
    <w:rsid w:val="003E4B05"/>
    <w:rsid w:val="003E4D9F"/>
    <w:rsid w:val="003E4EB2"/>
    <w:rsid w:val="003E4EDF"/>
    <w:rsid w:val="003E4F68"/>
    <w:rsid w:val="003E4FE5"/>
    <w:rsid w:val="003E515D"/>
    <w:rsid w:val="003E519B"/>
    <w:rsid w:val="003E5225"/>
    <w:rsid w:val="003E5354"/>
    <w:rsid w:val="003E53B2"/>
    <w:rsid w:val="003E5485"/>
    <w:rsid w:val="003E574A"/>
    <w:rsid w:val="003E59AA"/>
    <w:rsid w:val="003E59E9"/>
    <w:rsid w:val="003E5A04"/>
    <w:rsid w:val="003E5DFE"/>
    <w:rsid w:val="003E5F0B"/>
    <w:rsid w:val="003E5F20"/>
    <w:rsid w:val="003E5F66"/>
    <w:rsid w:val="003E6120"/>
    <w:rsid w:val="003E62A5"/>
    <w:rsid w:val="003E63B6"/>
    <w:rsid w:val="003E63E7"/>
    <w:rsid w:val="003E646B"/>
    <w:rsid w:val="003E6514"/>
    <w:rsid w:val="003E657C"/>
    <w:rsid w:val="003E6790"/>
    <w:rsid w:val="003E683D"/>
    <w:rsid w:val="003E68DB"/>
    <w:rsid w:val="003E6A14"/>
    <w:rsid w:val="003E6A58"/>
    <w:rsid w:val="003E6C58"/>
    <w:rsid w:val="003E6EDB"/>
    <w:rsid w:val="003E6FB6"/>
    <w:rsid w:val="003E7171"/>
    <w:rsid w:val="003E71A4"/>
    <w:rsid w:val="003E72E5"/>
    <w:rsid w:val="003E7326"/>
    <w:rsid w:val="003E73BD"/>
    <w:rsid w:val="003E74E1"/>
    <w:rsid w:val="003E7635"/>
    <w:rsid w:val="003E795C"/>
    <w:rsid w:val="003E7A9E"/>
    <w:rsid w:val="003E7BAA"/>
    <w:rsid w:val="003E7BF3"/>
    <w:rsid w:val="003E7C7D"/>
    <w:rsid w:val="003E7DA7"/>
    <w:rsid w:val="003E7DCD"/>
    <w:rsid w:val="003E7E00"/>
    <w:rsid w:val="003E7E79"/>
    <w:rsid w:val="003E7F5F"/>
    <w:rsid w:val="003F013E"/>
    <w:rsid w:val="003F027A"/>
    <w:rsid w:val="003F04CB"/>
    <w:rsid w:val="003F04FC"/>
    <w:rsid w:val="003F06A3"/>
    <w:rsid w:val="003F06E5"/>
    <w:rsid w:val="003F070F"/>
    <w:rsid w:val="003F0744"/>
    <w:rsid w:val="003F07BE"/>
    <w:rsid w:val="003F0877"/>
    <w:rsid w:val="003F0AAF"/>
    <w:rsid w:val="003F0AED"/>
    <w:rsid w:val="003F0B0D"/>
    <w:rsid w:val="003F0C98"/>
    <w:rsid w:val="003F0CC8"/>
    <w:rsid w:val="003F0E15"/>
    <w:rsid w:val="003F1042"/>
    <w:rsid w:val="003F10AB"/>
    <w:rsid w:val="003F1132"/>
    <w:rsid w:val="003F11D9"/>
    <w:rsid w:val="003F129A"/>
    <w:rsid w:val="003F1415"/>
    <w:rsid w:val="003F16F4"/>
    <w:rsid w:val="003F1740"/>
    <w:rsid w:val="003F1829"/>
    <w:rsid w:val="003F18B2"/>
    <w:rsid w:val="003F1BFB"/>
    <w:rsid w:val="003F1F37"/>
    <w:rsid w:val="003F1F51"/>
    <w:rsid w:val="003F1F98"/>
    <w:rsid w:val="003F1FDF"/>
    <w:rsid w:val="003F208A"/>
    <w:rsid w:val="003F2170"/>
    <w:rsid w:val="003F21BE"/>
    <w:rsid w:val="003F222D"/>
    <w:rsid w:val="003F250D"/>
    <w:rsid w:val="003F267C"/>
    <w:rsid w:val="003F2704"/>
    <w:rsid w:val="003F277D"/>
    <w:rsid w:val="003F2A01"/>
    <w:rsid w:val="003F2B27"/>
    <w:rsid w:val="003F2B4A"/>
    <w:rsid w:val="003F2CFA"/>
    <w:rsid w:val="003F2D7F"/>
    <w:rsid w:val="003F2EA4"/>
    <w:rsid w:val="003F3006"/>
    <w:rsid w:val="003F3065"/>
    <w:rsid w:val="003F31C4"/>
    <w:rsid w:val="003F3246"/>
    <w:rsid w:val="003F3538"/>
    <w:rsid w:val="003F3620"/>
    <w:rsid w:val="003F36DD"/>
    <w:rsid w:val="003F36E9"/>
    <w:rsid w:val="003F38F4"/>
    <w:rsid w:val="003F3976"/>
    <w:rsid w:val="003F3AFF"/>
    <w:rsid w:val="003F3BED"/>
    <w:rsid w:val="003F3DEF"/>
    <w:rsid w:val="003F3E55"/>
    <w:rsid w:val="003F4055"/>
    <w:rsid w:val="003F4231"/>
    <w:rsid w:val="003F437F"/>
    <w:rsid w:val="003F43BC"/>
    <w:rsid w:val="003F43C4"/>
    <w:rsid w:val="003F4593"/>
    <w:rsid w:val="003F468E"/>
    <w:rsid w:val="003F47CA"/>
    <w:rsid w:val="003F47F2"/>
    <w:rsid w:val="003F4809"/>
    <w:rsid w:val="003F48A9"/>
    <w:rsid w:val="003F494A"/>
    <w:rsid w:val="003F4BF0"/>
    <w:rsid w:val="003F4D8D"/>
    <w:rsid w:val="003F4EAE"/>
    <w:rsid w:val="003F5350"/>
    <w:rsid w:val="003F5421"/>
    <w:rsid w:val="003F564B"/>
    <w:rsid w:val="003F5828"/>
    <w:rsid w:val="003F58A8"/>
    <w:rsid w:val="003F598C"/>
    <w:rsid w:val="003F5AFB"/>
    <w:rsid w:val="003F5C33"/>
    <w:rsid w:val="003F5CFB"/>
    <w:rsid w:val="003F5DAE"/>
    <w:rsid w:val="003F6104"/>
    <w:rsid w:val="003F6209"/>
    <w:rsid w:val="003F6321"/>
    <w:rsid w:val="003F6A8E"/>
    <w:rsid w:val="003F6BF2"/>
    <w:rsid w:val="003F6D76"/>
    <w:rsid w:val="003F6EA3"/>
    <w:rsid w:val="003F71B7"/>
    <w:rsid w:val="003F727E"/>
    <w:rsid w:val="003F729F"/>
    <w:rsid w:val="003F750B"/>
    <w:rsid w:val="003F759B"/>
    <w:rsid w:val="003F7A0B"/>
    <w:rsid w:val="003F7A56"/>
    <w:rsid w:val="003F7B9A"/>
    <w:rsid w:val="003F7CCE"/>
    <w:rsid w:val="003F7D2B"/>
    <w:rsid w:val="003F7D89"/>
    <w:rsid w:val="0040003B"/>
    <w:rsid w:val="00400044"/>
    <w:rsid w:val="004000D8"/>
    <w:rsid w:val="00400162"/>
    <w:rsid w:val="004003C1"/>
    <w:rsid w:val="004003FF"/>
    <w:rsid w:val="00400434"/>
    <w:rsid w:val="0040050A"/>
    <w:rsid w:val="004006E5"/>
    <w:rsid w:val="00400703"/>
    <w:rsid w:val="0040073B"/>
    <w:rsid w:val="004007B4"/>
    <w:rsid w:val="00400916"/>
    <w:rsid w:val="00400B95"/>
    <w:rsid w:val="00400C08"/>
    <w:rsid w:val="00400C4D"/>
    <w:rsid w:val="00400DE0"/>
    <w:rsid w:val="00401051"/>
    <w:rsid w:val="004010A0"/>
    <w:rsid w:val="004010A1"/>
    <w:rsid w:val="0040119F"/>
    <w:rsid w:val="004011D4"/>
    <w:rsid w:val="004012C6"/>
    <w:rsid w:val="00401349"/>
    <w:rsid w:val="004015BD"/>
    <w:rsid w:val="004016FB"/>
    <w:rsid w:val="0040176A"/>
    <w:rsid w:val="00401789"/>
    <w:rsid w:val="004019AC"/>
    <w:rsid w:val="00401A84"/>
    <w:rsid w:val="00401B08"/>
    <w:rsid w:val="00401BD1"/>
    <w:rsid w:val="00401CA7"/>
    <w:rsid w:val="00401CC2"/>
    <w:rsid w:val="00401DAE"/>
    <w:rsid w:val="00401DF1"/>
    <w:rsid w:val="00401F22"/>
    <w:rsid w:val="00401F5E"/>
    <w:rsid w:val="00401FAD"/>
    <w:rsid w:val="004021A8"/>
    <w:rsid w:val="00402245"/>
    <w:rsid w:val="0040228E"/>
    <w:rsid w:val="004022A6"/>
    <w:rsid w:val="00402610"/>
    <w:rsid w:val="00402744"/>
    <w:rsid w:val="00402C4D"/>
    <w:rsid w:val="00402E82"/>
    <w:rsid w:val="00402FCC"/>
    <w:rsid w:val="00403119"/>
    <w:rsid w:val="00403196"/>
    <w:rsid w:val="004031CB"/>
    <w:rsid w:val="00403266"/>
    <w:rsid w:val="0040338C"/>
    <w:rsid w:val="00403402"/>
    <w:rsid w:val="00403573"/>
    <w:rsid w:val="00403624"/>
    <w:rsid w:val="004036E0"/>
    <w:rsid w:val="004037DD"/>
    <w:rsid w:val="004039D2"/>
    <w:rsid w:val="00403D40"/>
    <w:rsid w:val="00404147"/>
    <w:rsid w:val="0040437E"/>
    <w:rsid w:val="004045AF"/>
    <w:rsid w:val="00404630"/>
    <w:rsid w:val="00404652"/>
    <w:rsid w:val="004046D4"/>
    <w:rsid w:val="004049D2"/>
    <w:rsid w:val="00404A1F"/>
    <w:rsid w:val="00404ACF"/>
    <w:rsid w:val="00404D77"/>
    <w:rsid w:val="00404D95"/>
    <w:rsid w:val="00404DB6"/>
    <w:rsid w:val="00404DEC"/>
    <w:rsid w:val="00404EF3"/>
    <w:rsid w:val="004051E8"/>
    <w:rsid w:val="004051F7"/>
    <w:rsid w:val="004054E9"/>
    <w:rsid w:val="004055DE"/>
    <w:rsid w:val="004055FF"/>
    <w:rsid w:val="004056F5"/>
    <w:rsid w:val="0040574F"/>
    <w:rsid w:val="0040577B"/>
    <w:rsid w:val="0040580F"/>
    <w:rsid w:val="0040589C"/>
    <w:rsid w:val="00405C34"/>
    <w:rsid w:val="00405F1C"/>
    <w:rsid w:val="004060AE"/>
    <w:rsid w:val="00406103"/>
    <w:rsid w:val="004062ED"/>
    <w:rsid w:val="00406301"/>
    <w:rsid w:val="004064D6"/>
    <w:rsid w:val="0040671B"/>
    <w:rsid w:val="00406855"/>
    <w:rsid w:val="0040686E"/>
    <w:rsid w:val="00406945"/>
    <w:rsid w:val="00406989"/>
    <w:rsid w:val="00406AD6"/>
    <w:rsid w:val="00406B26"/>
    <w:rsid w:val="00406D29"/>
    <w:rsid w:val="00406FE8"/>
    <w:rsid w:val="00407171"/>
    <w:rsid w:val="00407279"/>
    <w:rsid w:val="00407369"/>
    <w:rsid w:val="00407517"/>
    <w:rsid w:val="004075BF"/>
    <w:rsid w:val="00407688"/>
    <w:rsid w:val="004077A8"/>
    <w:rsid w:val="0040789F"/>
    <w:rsid w:val="004079B2"/>
    <w:rsid w:val="004079B7"/>
    <w:rsid w:val="00407A1F"/>
    <w:rsid w:val="00407B88"/>
    <w:rsid w:val="00407CF7"/>
    <w:rsid w:val="00410041"/>
    <w:rsid w:val="004100AE"/>
    <w:rsid w:val="00410125"/>
    <w:rsid w:val="004102A5"/>
    <w:rsid w:val="00410324"/>
    <w:rsid w:val="00410339"/>
    <w:rsid w:val="00410385"/>
    <w:rsid w:val="00410387"/>
    <w:rsid w:val="004103FE"/>
    <w:rsid w:val="00410574"/>
    <w:rsid w:val="004105F5"/>
    <w:rsid w:val="00410646"/>
    <w:rsid w:val="004106A6"/>
    <w:rsid w:val="004106BD"/>
    <w:rsid w:val="004107D8"/>
    <w:rsid w:val="00410A0C"/>
    <w:rsid w:val="00410A96"/>
    <w:rsid w:val="00410C53"/>
    <w:rsid w:val="00410D1B"/>
    <w:rsid w:val="00410DFD"/>
    <w:rsid w:val="00411043"/>
    <w:rsid w:val="00411193"/>
    <w:rsid w:val="00411359"/>
    <w:rsid w:val="0041150B"/>
    <w:rsid w:val="004116DB"/>
    <w:rsid w:val="0041182B"/>
    <w:rsid w:val="004118A8"/>
    <w:rsid w:val="00411B40"/>
    <w:rsid w:val="00411B8F"/>
    <w:rsid w:val="00411DDE"/>
    <w:rsid w:val="004121D8"/>
    <w:rsid w:val="00412305"/>
    <w:rsid w:val="00412400"/>
    <w:rsid w:val="00412409"/>
    <w:rsid w:val="00412462"/>
    <w:rsid w:val="004124A1"/>
    <w:rsid w:val="004126F7"/>
    <w:rsid w:val="0041284F"/>
    <w:rsid w:val="00412906"/>
    <w:rsid w:val="004129A0"/>
    <w:rsid w:val="00412B57"/>
    <w:rsid w:val="00412B71"/>
    <w:rsid w:val="00412BFD"/>
    <w:rsid w:val="00413124"/>
    <w:rsid w:val="004132CD"/>
    <w:rsid w:val="0041332A"/>
    <w:rsid w:val="0041341A"/>
    <w:rsid w:val="00413619"/>
    <w:rsid w:val="00413780"/>
    <w:rsid w:val="00413848"/>
    <w:rsid w:val="0041389E"/>
    <w:rsid w:val="00413909"/>
    <w:rsid w:val="00413B01"/>
    <w:rsid w:val="00413B1F"/>
    <w:rsid w:val="00413C15"/>
    <w:rsid w:val="00413C41"/>
    <w:rsid w:val="00413CAE"/>
    <w:rsid w:val="00413DD5"/>
    <w:rsid w:val="00413EC9"/>
    <w:rsid w:val="0041407C"/>
    <w:rsid w:val="00414190"/>
    <w:rsid w:val="00414204"/>
    <w:rsid w:val="00414214"/>
    <w:rsid w:val="00414246"/>
    <w:rsid w:val="00414491"/>
    <w:rsid w:val="0041462B"/>
    <w:rsid w:val="00414762"/>
    <w:rsid w:val="00414868"/>
    <w:rsid w:val="00414961"/>
    <w:rsid w:val="0041499D"/>
    <w:rsid w:val="00414D59"/>
    <w:rsid w:val="00414D90"/>
    <w:rsid w:val="00414E61"/>
    <w:rsid w:val="00415105"/>
    <w:rsid w:val="004152C2"/>
    <w:rsid w:val="004154EF"/>
    <w:rsid w:val="00415534"/>
    <w:rsid w:val="004155D6"/>
    <w:rsid w:val="00415681"/>
    <w:rsid w:val="004156FC"/>
    <w:rsid w:val="00415710"/>
    <w:rsid w:val="004157EA"/>
    <w:rsid w:val="00415901"/>
    <w:rsid w:val="00415AE0"/>
    <w:rsid w:val="00415BBC"/>
    <w:rsid w:val="00415C36"/>
    <w:rsid w:val="00415C58"/>
    <w:rsid w:val="00415D35"/>
    <w:rsid w:val="00415E27"/>
    <w:rsid w:val="0041605E"/>
    <w:rsid w:val="004160BF"/>
    <w:rsid w:val="00416157"/>
    <w:rsid w:val="00416174"/>
    <w:rsid w:val="004161B6"/>
    <w:rsid w:val="004162DE"/>
    <w:rsid w:val="00416301"/>
    <w:rsid w:val="00416387"/>
    <w:rsid w:val="0041638B"/>
    <w:rsid w:val="004163C4"/>
    <w:rsid w:val="004165B5"/>
    <w:rsid w:val="0041666A"/>
    <w:rsid w:val="00416800"/>
    <w:rsid w:val="00416D5C"/>
    <w:rsid w:val="00416DCF"/>
    <w:rsid w:val="00416FA9"/>
    <w:rsid w:val="00417058"/>
    <w:rsid w:val="0041707C"/>
    <w:rsid w:val="004170C1"/>
    <w:rsid w:val="0041723F"/>
    <w:rsid w:val="0041724E"/>
    <w:rsid w:val="00417708"/>
    <w:rsid w:val="00417809"/>
    <w:rsid w:val="004179EE"/>
    <w:rsid w:val="00417C9F"/>
    <w:rsid w:val="00417CCC"/>
    <w:rsid w:val="00417E5B"/>
    <w:rsid w:val="00417F40"/>
    <w:rsid w:val="0042005D"/>
    <w:rsid w:val="00420259"/>
    <w:rsid w:val="00420280"/>
    <w:rsid w:val="00420314"/>
    <w:rsid w:val="0042031F"/>
    <w:rsid w:val="00420436"/>
    <w:rsid w:val="004208C2"/>
    <w:rsid w:val="00420A47"/>
    <w:rsid w:val="00420AE7"/>
    <w:rsid w:val="00420B74"/>
    <w:rsid w:val="00420DF3"/>
    <w:rsid w:val="00420F89"/>
    <w:rsid w:val="004210DE"/>
    <w:rsid w:val="00421107"/>
    <w:rsid w:val="004211AB"/>
    <w:rsid w:val="004211B1"/>
    <w:rsid w:val="004211FE"/>
    <w:rsid w:val="004212EB"/>
    <w:rsid w:val="00421390"/>
    <w:rsid w:val="004213EC"/>
    <w:rsid w:val="0042155A"/>
    <w:rsid w:val="004218C1"/>
    <w:rsid w:val="0042196B"/>
    <w:rsid w:val="004219D4"/>
    <w:rsid w:val="00421A56"/>
    <w:rsid w:val="00421AB8"/>
    <w:rsid w:val="00421B8A"/>
    <w:rsid w:val="00421C94"/>
    <w:rsid w:val="00421D4C"/>
    <w:rsid w:val="00421D5F"/>
    <w:rsid w:val="00421E84"/>
    <w:rsid w:val="00421EAC"/>
    <w:rsid w:val="00422335"/>
    <w:rsid w:val="00422345"/>
    <w:rsid w:val="00422488"/>
    <w:rsid w:val="00422529"/>
    <w:rsid w:val="0042260E"/>
    <w:rsid w:val="0042273E"/>
    <w:rsid w:val="00422793"/>
    <w:rsid w:val="004227D8"/>
    <w:rsid w:val="00422894"/>
    <w:rsid w:val="00422ADE"/>
    <w:rsid w:val="00422E2E"/>
    <w:rsid w:val="0042339B"/>
    <w:rsid w:val="004233C2"/>
    <w:rsid w:val="004233D5"/>
    <w:rsid w:val="004234E3"/>
    <w:rsid w:val="00423579"/>
    <w:rsid w:val="00423790"/>
    <w:rsid w:val="0042381B"/>
    <w:rsid w:val="0042390C"/>
    <w:rsid w:val="00423A3D"/>
    <w:rsid w:val="00423D37"/>
    <w:rsid w:val="00423E05"/>
    <w:rsid w:val="00423F30"/>
    <w:rsid w:val="00424153"/>
    <w:rsid w:val="004241A7"/>
    <w:rsid w:val="004241E8"/>
    <w:rsid w:val="0042430C"/>
    <w:rsid w:val="00424762"/>
    <w:rsid w:val="00424792"/>
    <w:rsid w:val="004248EF"/>
    <w:rsid w:val="00424968"/>
    <w:rsid w:val="004249A4"/>
    <w:rsid w:val="00424B8C"/>
    <w:rsid w:val="00424C87"/>
    <w:rsid w:val="00424FD9"/>
    <w:rsid w:val="00424FDC"/>
    <w:rsid w:val="00424FDF"/>
    <w:rsid w:val="0042506E"/>
    <w:rsid w:val="004250F5"/>
    <w:rsid w:val="00425412"/>
    <w:rsid w:val="004254E1"/>
    <w:rsid w:val="004254EA"/>
    <w:rsid w:val="00425514"/>
    <w:rsid w:val="004256E4"/>
    <w:rsid w:val="004257BC"/>
    <w:rsid w:val="00425846"/>
    <w:rsid w:val="00425879"/>
    <w:rsid w:val="00425893"/>
    <w:rsid w:val="0042595B"/>
    <w:rsid w:val="00425BE2"/>
    <w:rsid w:val="00425C30"/>
    <w:rsid w:val="00425DEC"/>
    <w:rsid w:val="00425E76"/>
    <w:rsid w:val="00426175"/>
    <w:rsid w:val="0042631C"/>
    <w:rsid w:val="00426391"/>
    <w:rsid w:val="00426408"/>
    <w:rsid w:val="004264FE"/>
    <w:rsid w:val="00426844"/>
    <w:rsid w:val="00426A0F"/>
    <w:rsid w:val="00426C32"/>
    <w:rsid w:val="00426C80"/>
    <w:rsid w:val="00426CB8"/>
    <w:rsid w:val="00426D3C"/>
    <w:rsid w:val="00426E56"/>
    <w:rsid w:val="00427013"/>
    <w:rsid w:val="004274DC"/>
    <w:rsid w:val="00427578"/>
    <w:rsid w:val="0042762C"/>
    <w:rsid w:val="004276F3"/>
    <w:rsid w:val="00427786"/>
    <w:rsid w:val="00427A75"/>
    <w:rsid w:val="00427AE3"/>
    <w:rsid w:val="00427AF4"/>
    <w:rsid w:val="00427BCA"/>
    <w:rsid w:val="00427C2E"/>
    <w:rsid w:val="00427E13"/>
    <w:rsid w:val="00427E55"/>
    <w:rsid w:val="00427E81"/>
    <w:rsid w:val="00427EB2"/>
    <w:rsid w:val="00430030"/>
    <w:rsid w:val="004300BD"/>
    <w:rsid w:val="004301AE"/>
    <w:rsid w:val="004302B8"/>
    <w:rsid w:val="00430387"/>
    <w:rsid w:val="00430671"/>
    <w:rsid w:val="0043068E"/>
    <w:rsid w:val="00430735"/>
    <w:rsid w:val="0043076D"/>
    <w:rsid w:val="0043088B"/>
    <w:rsid w:val="0043091B"/>
    <w:rsid w:val="00430968"/>
    <w:rsid w:val="00430A02"/>
    <w:rsid w:val="00430A1C"/>
    <w:rsid w:val="00430AD7"/>
    <w:rsid w:val="00430BB2"/>
    <w:rsid w:val="00430BF2"/>
    <w:rsid w:val="00430D3D"/>
    <w:rsid w:val="00430D42"/>
    <w:rsid w:val="00430D4D"/>
    <w:rsid w:val="00430D6A"/>
    <w:rsid w:val="00430DE6"/>
    <w:rsid w:val="00430E61"/>
    <w:rsid w:val="0043101E"/>
    <w:rsid w:val="0043108B"/>
    <w:rsid w:val="00431275"/>
    <w:rsid w:val="004313AD"/>
    <w:rsid w:val="00431426"/>
    <w:rsid w:val="004317D2"/>
    <w:rsid w:val="004317EE"/>
    <w:rsid w:val="00431B7A"/>
    <w:rsid w:val="00431C13"/>
    <w:rsid w:val="00431CE7"/>
    <w:rsid w:val="00431CF1"/>
    <w:rsid w:val="00431D31"/>
    <w:rsid w:val="00431E80"/>
    <w:rsid w:val="00431E84"/>
    <w:rsid w:val="00431EA7"/>
    <w:rsid w:val="00431FA8"/>
    <w:rsid w:val="00431FB7"/>
    <w:rsid w:val="00432083"/>
    <w:rsid w:val="004322F9"/>
    <w:rsid w:val="00432441"/>
    <w:rsid w:val="0043246F"/>
    <w:rsid w:val="004325FC"/>
    <w:rsid w:val="0043266E"/>
    <w:rsid w:val="004326A1"/>
    <w:rsid w:val="00432709"/>
    <w:rsid w:val="0043270E"/>
    <w:rsid w:val="004327A8"/>
    <w:rsid w:val="00432B61"/>
    <w:rsid w:val="00432C48"/>
    <w:rsid w:val="00432D82"/>
    <w:rsid w:val="00432D8E"/>
    <w:rsid w:val="00432DCB"/>
    <w:rsid w:val="00432EE4"/>
    <w:rsid w:val="00432F19"/>
    <w:rsid w:val="00432FF2"/>
    <w:rsid w:val="00433037"/>
    <w:rsid w:val="00433246"/>
    <w:rsid w:val="004333A8"/>
    <w:rsid w:val="004334A5"/>
    <w:rsid w:val="004336B8"/>
    <w:rsid w:val="00433705"/>
    <w:rsid w:val="004339B9"/>
    <w:rsid w:val="00433C59"/>
    <w:rsid w:val="00433D17"/>
    <w:rsid w:val="00433FD6"/>
    <w:rsid w:val="00433FF4"/>
    <w:rsid w:val="004340BB"/>
    <w:rsid w:val="004341CD"/>
    <w:rsid w:val="0043421A"/>
    <w:rsid w:val="004343CC"/>
    <w:rsid w:val="00434643"/>
    <w:rsid w:val="00434693"/>
    <w:rsid w:val="00434699"/>
    <w:rsid w:val="00434822"/>
    <w:rsid w:val="00434A94"/>
    <w:rsid w:val="00434B17"/>
    <w:rsid w:val="00434BD7"/>
    <w:rsid w:val="00434CF1"/>
    <w:rsid w:val="00434EDB"/>
    <w:rsid w:val="00434F2A"/>
    <w:rsid w:val="00434FE2"/>
    <w:rsid w:val="00435005"/>
    <w:rsid w:val="0043513E"/>
    <w:rsid w:val="004351CA"/>
    <w:rsid w:val="00435251"/>
    <w:rsid w:val="004353FA"/>
    <w:rsid w:val="00435575"/>
    <w:rsid w:val="0043570B"/>
    <w:rsid w:val="0043579D"/>
    <w:rsid w:val="00435884"/>
    <w:rsid w:val="00435B29"/>
    <w:rsid w:val="00435BF2"/>
    <w:rsid w:val="00435C19"/>
    <w:rsid w:val="00435D60"/>
    <w:rsid w:val="00435E24"/>
    <w:rsid w:val="00435F37"/>
    <w:rsid w:val="00436182"/>
    <w:rsid w:val="004361B2"/>
    <w:rsid w:val="004361E8"/>
    <w:rsid w:val="00436216"/>
    <w:rsid w:val="00436253"/>
    <w:rsid w:val="00436294"/>
    <w:rsid w:val="004364E2"/>
    <w:rsid w:val="00436511"/>
    <w:rsid w:val="0043653C"/>
    <w:rsid w:val="0043662A"/>
    <w:rsid w:val="00436646"/>
    <w:rsid w:val="0043668E"/>
    <w:rsid w:val="00436734"/>
    <w:rsid w:val="004367C1"/>
    <w:rsid w:val="0043681C"/>
    <w:rsid w:val="00436969"/>
    <w:rsid w:val="00436A8F"/>
    <w:rsid w:val="00436B80"/>
    <w:rsid w:val="00436D4A"/>
    <w:rsid w:val="00436DB2"/>
    <w:rsid w:val="0043710F"/>
    <w:rsid w:val="00437212"/>
    <w:rsid w:val="004372C3"/>
    <w:rsid w:val="0043737A"/>
    <w:rsid w:val="004375BE"/>
    <w:rsid w:val="004377D3"/>
    <w:rsid w:val="0043781F"/>
    <w:rsid w:val="00437824"/>
    <w:rsid w:val="0043787B"/>
    <w:rsid w:val="00437894"/>
    <w:rsid w:val="00437952"/>
    <w:rsid w:val="004379B8"/>
    <w:rsid w:val="004379FE"/>
    <w:rsid w:val="00437A4C"/>
    <w:rsid w:val="00437A5E"/>
    <w:rsid w:val="00437EA7"/>
    <w:rsid w:val="00437FEB"/>
    <w:rsid w:val="00440022"/>
    <w:rsid w:val="00440071"/>
    <w:rsid w:val="00440104"/>
    <w:rsid w:val="004401D8"/>
    <w:rsid w:val="0044022A"/>
    <w:rsid w:val="00440468"/>
    <w:rsid w:val="004404BB"/>
    <w:rsid w:val="00440519"/>
    <w:rsid w:val="004405C0"/>
    <w:rsid w:val="004406F0"/>
    <w:rsid w:val="0044072B"/>
    <w:rsid w:val="0044080A"/>
    <w:rsid w:val="00440910"/>
    <w:rsid w:val="00440C04"/>
    <w:rsid w:val="00440D95"/>
    <w:rsid w:val="00440FD6"/>
    <w:rsid w:val="00441034"/>
    <w:rsid w:val="004410B8"/>
    <w:rsid w:val="0044120C"/>
    <w:rsid w:val="00441532"/>
    <w:rsid w:val="0044165D"/>
    <w:rsid w:val="0044166A"/>
    <w:rsid w:val="004416B3"/>
    <w:rsid w:val="004416C0"/>
    <w:rsid w:val="0044177A"/>
    <w:rsid w:val="00441824"/>
    <w:rsid w:val="004418D1"/>
    <w:rsid w:val="004419EE"/>
    <w:rsid w:val="00441CBC"/>
    <w:rsid w:val="00441D55"/>
    <w:rsid w:val="00441FD0"/>
    <w:rsid w:val="00441FE5"/>
    <w:rsid w:val="004420A9"/>
    <w:rsid w:val="00442426"/>
    <w:rsid w:val="004424DA"/>
    <w:rsid w:val="004425FC"/>
    <w:rsid w:val="0044261E"/>
    <w:rsid w:val="00442677"/>
    <w:rsid w:val="0044278D"/>
    <w:rsid w:val="0044285D"/>
    <w:rsid w:val="0044293C"/>
    <w:rsid w:val="00442AC9"/>
    <w:rsid w:val="00442D69"/>
    <w:rsid w:val="00442E7B"/>
    <w:rsid w:val="00442F97"/>
    <w:rsid w:val="00443074"/>
    <w:rsid w:val="004430C9"/>
    <w:rsid w:val="004430EF"/>
    <w:rsid w:val="00443261"/>
    <w:rsid w:val="00443383"/>
    <w:rsid w:val="004433E6"/>
    <w:rsid w:val="00443541"/>
    <w:rsid w:val="0044359E"/>
    <w:rsid w:val="004437F3"/>
    <w:rsid w:val="00443856"/>
    <w:rsid w:val="0044386B"/>
    <w:rsid w:val="00443AC3"/>
    <w:rsid w:val="00443BEA"/>
    <w:rsid w:val="00443CE5"/>
    <w:rsid w:val="00443E6D"/>
    <w:rsid w:val="0044400D"/>
    <w:rsid w:val="00444079"/>
    <w:rsid w:val="004441C7"/>
    <w:rsid w:val="00444202"/>
    <w:rsid w:val="0044420E"/>
    <w:rsid w:val="00444409"/>
    <w:rsid w:val="00444438"/>
    <w:rsid w:val="0044459E"/>
    <w:rsid w:val="00444852"/>
    <w:rsid w:val="00444875"/>
    <w:rsid w:val="004449C1"/>
    <w:rsid w:val="00444A1A"/>
    <w:rsid w:val="00444A62"/>
    <w:rsid w:val="00444AD7"/>
    <w:rsid w:val="00444BB2"/>
    <w:rsid w:val="00444C88"/>
    <w:rsid w:val="00444CA1"/>
    <w:rsid w:val="00444D6B"/>
    <w:rsid w:val="00444DC7"/>
    <w:rsid w:val="00444DD7"/>
    <w:rsid w:val="00444F5B"/>
    <w:rsid w:val="00445288"/>
    <w:rsid w:val="0044532C"/>
    <w:rsid w:val="004453A9"/>
    <w:rsid w:val="00445417"/>
    <w:rsid w:val="00445515"/>
    <w:rsid w:val="0044557C"/>
    <w:rsid w:val="0044571B"/>
    <w:rsid w:val="00445835"/>
    <w:rsid w:val="00445848"/>
    <w:rsid w:val="004458E4"/>
    <w:rsid w:val="004459A9"/>
    <w:rsid w:val="00445B7F"/>
    <w:rsid w:val="00445C3D"/>
    <w:rsid w:val="00445D2E"/>
    <w:rsid w:val="00445DDC"/>
    <w:rsid w:val="00445E6E"/>
    <w:rsid w:val="00445E8A"/>
    <w:rsid w:val="00445EEF"/>
    <w:rsid w:val="00446134"/>
    <w:rsid w:val="00446142"/>
    <w:rsid w:val="0044618E"/>
    <w:rsid w:val="00446330"/>
    <w:rsid w:val="00446551"/>
    <w:rsid w:val="0044664C"/>
    <w:rsid w:val="0044666C"/>
    <w:rsid w:val="00446712"/>
    <w:rsid w:val="0044673F"/>
    <w:rsid w:val="00446778"/>
    <w:rsid w:val="004467D5"/>
    <w:rsid w:val="0044688A"/>
    <w:rsid w:val="0044697D"/>
    <w:rsid w:val="00446BFC"/>
    <w:rsid w:val="00446CD8"/>
    <w:rsid w:val="00446CEE"/>
    <w:rsid w:val="00446DC7"/>
    <w:rsid w:val="00446E0E"/>
    <w:rsid w:val="00446E1B"/>
    <w:rsid w:val="00446E54"/>
    <w:rsid w:val="00446F70"/>
    <w:rsid w:val="0044721F"/>
    <w:rsid w:val="0044728F"/>
    <w:rsid w:val="0044739A"/>
    <w:rsid w:val="004474DC"/>
    <w:rsid w:val="004476A0"/>
    <w:rsid w:val="004476CA"/>
    <w:rsid w:val="0044779D"/>
    <w:rsid w:val="004477FD"/>
    <w:rsid w:val="00447BDC"/>
    <w:rsid w:val="00447BDF"/>
    <w:rsid w:val="00447CAD"/>
    <w:rsid w:val="00447D99"/>
    <w:rsid w:val="00447DBC"/>
    <w:rsid w:val="00447FAE"/>
    <w:rsid w:val="0045005A"/>
    <w:rsid w:val="0045006C"/>
    <w:rsid w:val="00450086"/>
    <w:rsid w:val="004500FF"/>
    <w:rsid w:val="004501AA"/>
    <w:rsid w:val="004501DB"/>
    <w:rsid w:val="004501F4"/>
    <w:rsid w:val="004502AC"/>
    <w:rsid w:val="0045030B"/>
    <w:rsid w:val="004503A5"/>
    <w:rsid w:val="004503E9"/>
    <w:rsid w:val="00450421"/>
    <w:rsid w:val="004504E8"/>
    <w:rsid w:val="00450550"/>
    <w:rsid w:val="004506C8"/>
    <w:rsid w:val="004506F4"/>
    <w:rsid w:val="00450733"/>
    <w:rsid w:val="004507DB"/>
    <w:rsid w:val="0045080D"/>
    <w:rsid w:val="004508C5"/>
    <w:rsid w:val="004508E5"/>
    <w:rsid w:val="00450941"/>
    <w:rsid w:val="004509D9"/>
    <w:rsid w:val="00450AD5"/>
    <w:rsid w:val="00450B7E"/>
    <w:rsid w:val="00450C6C"/>
    <w:rsid w:val="00450F2E"/>
    <w:rsid w:val="00450F38"/>
    <w:rsid w:val="00450FB9"/>
    <w:rsid w:val="00450FDF"/>
    <w:rsid w:val="00451033"/>
    <w:rsid w:val="00451087"/>
    <w:rsid w:val="004510AD"/>
    <w:rsid w:val="004511BA"/>
    <w:rsid w:val="004511D4"/>
    <w:rsid w:val="00451550"/>
    <w:rsid w:val="00451585"/>
    <w:rsid w:val="004515F7"/>
    <w:rsid w:val="0045163A"/>
    <w:rsid w:val="0045165C"/>
    <w:rsid w:val="004516BA"/>
    <w:rsid w:val="0045181C"/>
    <w:rsid w:val="00451890"/>
    <w:rsid w:val="00451B36"/>
    <w:rsid w:val="00451B39"/>
    <w:rsid w:val="00451C44"/>
    <w:rsid w:val="00451D9B"/>
    <w:rsid w:val="00451E0D"/>
    <w:rsid w:val="00452180"/>
    <w:rsid w:val="004523FA"/>
    <w:rsid w:val="0045259E"/>
    <w:rsid w:val="00452636"/>
    <w:rsid w:val="004526C2"/>
    <w:rsid w:val="004527A5"/>
    <w:rsid w:val="004527B0"/>
    <w:rsid w:val="004527E8"/>
    <w:rsid w:val="0045282C"/>
    <w:rsid w:val="004528AE"/>
    <w:rsid w:val="004528D2"/>
    <w:rsid w:val="00452A77"/>
    <w:rsid w:val="00452BAB"/>
    <w:rsid w:val="00452C3F"/>
    <w:rsid w:val="00452D75"/>
    <w:rsid w:val="00452E9C"/>
    <w:rsid w:val="0045303E"/>
    <w:rsid w:val="004532BD"/>
    <w:rsid w:val="004533C1"/>
    <w:rsid w:val="004533D2"/>
    <w:rsid w:val="00453681"/>
    <w:rsid w:val="004538E0"/>
    <w:rsid w:val="0045394A"/>
    <w:rsid w:val="0045395F"/>
    <w:rsid w:val="00453B1A"/>
    <w:rsid w:val="00453BAF"/>
    <w:rsid w:val="00453BCA"/>
    <w:rsid w:val="00453D12"/>
    <w:rsid w:val="00454275"/>
    <w:rsid w:val="0045453D"/>
    <w:rsid w:val="00454666"/>
    <w:rsid w:val="004547EF"/>
    <w:rsid w:val="0045481A"/>
    <w:rsid w:val="0045493B"/>
    <w:rsid w:val="004549E9"/>
    <w:rsid w:val="00454B18"/>
    <w:rsid w:val="00454B3A"/>
    <w:rsid w:val="00454B9D"/>
    <w:rsid w:val="00454F9C"/>
    <w:rsid w:val="0045527E"/>
    <w:rsid w:val="00455285"/>
    <w:rsid w:val="0045530A"/>
    <w:rsid w:val="0045538C"/>
    <w:rsid w:val="0045538E"/>
    <w:rsid w:val="004555DC"/>
    <w:rsid w:val="00455613"/>
    <w:rsid w:val="004558D5"/>
    <w:rsid w:val="00455ABF"/>
    <w:rsid w:val="00455C8D"/>
    <w:rsid w:val="00455CEA"/>
    <w:rsid w:val="00455D8A"/>
    <w:rsid w:val="00455E22"/>
    <w:rsid w:val="00455E81"/>
    <w:rsid w:val="00455FBC"/>
    <w:rsid w:val="00455FD3"/>
    <w:rsid w:val="00456012"/>
    <w:rsid w:val="004560F0"/>
    <w:rsid w:val="00456451"/>
    <w:rsid w:val="00456769"/>
    <w:rsid w:val="004568FB"/>
    <w:rsid w:val="004569B8"/>
    <w:rsid w:val="00456C0C"/>
    <w:rsid w:val="00456C58"/>
    <w:rsid w:val="0045708A"/>
    <w:rsid w:val="004570AC"/>
    <w:rsid w:val="00457146"/>
    <w:rsid w:val="00457177"/>
    <w:rsid w:val="004571FE"/>
    <w:rsid w:val="004572EC"/>
    <w:rsid w:val="004573D5"/>
    <w:rsid w:val="004574CD"/>
    <w:rsid w:val="004574F5"/>
    <w:rsid w:val="00457702"/>
    <w:rsid w:val="00457849"/>
    <w:rsid w:val="004578E7"/>
    <w:rsid w:val="004579DD"/>
    <w:rsid w:val="00457B2F"/>
    <w:rsid w:val="00457C06"/>
    <w:rsid w:val="00457C5F"/>
    <w:rsid w:val="00457C8F"/>
    <w:rsid w:val="00457D20"/>
    <w:rsid w:val="00457DE4"/>
    <w:rsid w:val="00457EE7"/>
    <w:rsid w:val="00460005"/>
    <w:rsid w:val="004600E5"/>
    <w:rsid w:val="004600EE"/>
    <w:rsid w:val="00460179"/>
    <w:rsid w:val="004603FB"/>
    <w:rsid w:val="00460438"/>
    <w:rsid w:val="0046049D"/>
    <w:rsid w:val="004604A1"/>
    <w:rsid w:val="004604C0"/>
    <w:rsid w:val="004604F6"/>
    <w:rsid w:val="0046056F"/>
    <w:rsid w:val="00460703"/>
    <w:rsid w:val="00460764"/>
    <w:rsid w:val="004607A2"/>
    <w:rsid w:val="004607DA"/>
    <w:rsid w:val="004607DF"/>
    <w:rsid w:val="004608A7"/>
    <w:rsid w:val="00460B00"/>
    <w:rsid w:val="00460B5B"/>
    <w:rsid w:val="00460BCD"/>
    <w:rsid w:val="00460C7C"/>
    <w:rsid w:val="00460D64"/>
    <w:rsid w:val="00460DC1"/>
    <w:rsid w:val="004610A2"/>
    <w:rsid w:val="004610A3"/>
    <w:rsid w:val="00461150"/>
    <w:rsid w:val="004611E4"/>
    <w:rsid w:val="004613F8"/>
    <w:rsid w:val="00461576"/>
    <w:rsid w:val="00461584"/>
    <w:rsid w:val="00461861"/>
    <w:rsid w:val="0046195C"/>
    <w:rsid w:val="004619DF"/>
    <w:rsid w:val="004619EE"/>
    <w:rsid w:val="00461D88"/>
    <w:rsid w:val="00461DBC"/>
    <w:rsid w:val="00461DD1"/>
    <w:rsid w:val="00461E62"/>
    <w:rsid w:val="00461F43"/>
    <w:rsid w:val="00462076"/>
    <w:rsid w:val="0046237C"/>
    <w:rsid w:val="00462451"/>
    <w:rsid w:val="004624DF"/>
    <w:rsid w:val="004625EA"/>
    <w:rsid w:val="004626CA"/>
    <w:rsid w:val="004626DE"/>
    <w:rsid w:val="004627E4"/>
    <w:rsid w:val="0046285C"/>
    <w:rsid w:val="00462B92"/>
    <w:rsid w:val="00462BC1"/>
    <w:rsid w:val="00462CD9"/>
    <w:rsid w:val="00462ECC"/>
    <w:rsid w:val="00462FB0"/>
    <w:rsid w:val="00462FE7"/>
    <w:rsid w:val="00463228"/>
    <w:rsid w:val="0046323D"/>
    <w:rsid w:val="0046324A"/>
    <w:rsid w:val="004632D5"/>
    <w:rsid w:val="004633BA"/>
    <w:rsid w:val="004633E1"/>
    <w:rsid w:val="00463470"/>
    <w:rsid w:val="00463644"/>
    <w:rsid w:val="00463974"/>
    <w:rsid w:val="00463A50"/>
    <w:rsid w:val="00463AE5"/>
    <w:rsid w:val="00463AEB"/>
    <w:rsid w:val="00463C7C"/>
    <w:rsid w:val="00463CB3"/>
    <w:rsid w:val="00463D13"/>
    <w:rsid w:val="00463D37"/>
    <w:rsid w:val="00463E72"/>
    <w:rsid w:val="00463F05"/>
    <w:rsid w:val="00463FE6"/>
    <w:rsid w:val="0046426D"/>
    <w:rsid w:val="004644B6"/>
    <w:rsid w:val="00464827"/>
    <w:rsid w:val="00464B00"/>
    <w:rsid w:val="00464B77"/>
    <w:rsid w:val="00464D10"/>
    <w:rsid w:val="00464E49"/>
    <w:rsid w:val="00464E9A"/>
    <w:rsid w:val="00464F39"/>
    <w:rsid w:val="00464F77"/>
    <w:rsid w:val="00464F83"/>
    <w:rsid w:val="00464F98"/>
    <w:rsid w:val="00464FF5"/>
    <w:rsid w:val="00465038"/>
    <w:rsid w:val="004651E1"/>
    <w:rsid w:val="004652D4"/>
    <w:rsid w:val="004653FA"/>
    <w:rsid w:val="00465405"/>
    <w:rsid w:val="004654AF"/>
    <w:rsid w:val="004655C9"/>
    <w:rsid w:val="0046569F"/>
    <w:rsid w:val="0046572A"/>
    <w:rsid w:val="004657D3"/>
    <w:rsid w:val="00465A78"/>
    <w:rsid w:val="00465ABE"/>
    <w:rsid w:val="00465BE6"/>
    <w:rsid w:val="00465C8B"/>
    <w:rsid w:val="00465D4C"/>
    <w:rsid w:val="00465DE7"/>
    <w:rsid w:val="00465E6E"/>
    <w:rsid w:val="00466159"/>
    <w:rsid w:val="004661AE"/>
    <w:rsid w:val="004661FC"/>
    <w:rsid w:val="00466380"/>
    <w:rsid w:val="004663B5"/>
    <w:rsid w:val="004666DB"/>
    <w:rsid w:val="0046685D"/>
    <w:rsid w:val="0046686D"/>
    <w:rsid w:val="0046694E"/>
    <w:rsid w:val="004669E6"/>
    <w:rsid w:val="00466A08"/>
    <w:rsid w:val="00466AC0"/>
    <w:rsid w:val="00466C25"/>
    <w:rsid w:val="00466D8F"/>
    <w:rsid w:val="00466E27"/>
    <w:rsid w:val="00466FB2"/>
    <w:rsid w:val="0046722E"/>
    <w:rsid w:val="004672C4"/>
    <w:rsid w:val="004673D6"/>
    <w:rsid w:val="0046740E"/>
    <w:rsid w:val="00467450"/>
    <w:rsid w:val="004675CE"/>
    <w:rsid w:val="004675FA"/>
    <w:rsid w:val="00467608"/>
    <w:rsid w:val="0046766A"/>
    <w:rsid w:val="00467834"/>
    <w:rsid w:val="004678AE"/>
    <w:rsid w:val="00467A1C"/>
    <w:rsid w:val="00467BBA"/>
    <w:rsid w:val="00467BD1"/>
    <w:rsid w:val="00467D8C"/>
    <w:rsid w:val="00467ED9"/>
    <w:rsid w:val="00467EE1"/>
    <w:rsid w:val="00467FF0"/>
    <w:rsid w:val="0046C03C"/>
    <w:rsid w:val="0047012B"/>
    <w:rsid w:val="00470253"/>
    <w:rsid w:val="00470437"/>
    <w:rsid w:val="00470509"/>
    <w:rsid w:val="004705F8"/>
    <w:rsid w:val="00470701"/>
    <w:rsid w:val="0047078D"/>
    <w:rsid w:val="00470798"/>
    <w:rsid w:val="0047087D"/>
    <w:rsid w:val="00470942"/>
    <w:rsid w:val="00470968"/>
    <w:rsid w:val="00470B6F"/>
    <w:rsid w:val="00470CD6"/>
    <w:rsid w:val="00470DF7"/>
    <w:rsid w:val="00470E45"/>
    <w:rsid w:val="00470F41"/>
    <w:rsid w:val="00470F7B"/>
    <w:rsid w:val="004710D3"/>
    <w:rsid w:val="0047111B"/>
    <w:rsid w:val="0047127A"/>
    <w:rsid w:val="00471442"/>
    <w:rsid w:val="004714C0"/>
    <w:rsid w:val="004714C3"/>
    <w:rsid w:val="00471524"/>
    <w:rsid w:val="00471571"/>
    <w:rsid w:val="0047171E"/>
    <w:rsid w:val="00471726"/>
    <w:rsid w:val="004718E5"/>
    <w:rsid w:val="00471900"/>
    <w:rsid w:val="00471A4E"/>
    <w:rsid w:val="00471AF7"/>
    <w:rsid w:val="00471BC3"/>
    <w:rsid w:val="00471BDC"/>
    <w:rsid w:val="00471C4F"/>
    <w:rsid w:val="00471CED"/>
    <w:rsid w:val="00471D2F"/>
    <w:rsid w:val="00471E03"/>
    <w:rsid w:val="0047204E"/>
    <w:rsid w:val="0047221A"/>
    <w:rsid w:val="004725AD"/>
    <w:rsid w:val="004725BC"/>
    <w:rsid w:val="004725FA"/>
    <w:rsid w:val="00472606"/>
    <w:rsid w:val="0047260E"/>
    <w:rsid w:val="0047267F"/>
    <w:rsid w:val="004726AA"/>
    <w:rsid w:val="004727F5"/>
    <w:rsid w:val="0047294E"/>
    <w:rsid w:val="00472CE0"/>
    <w:rsid w:val="00472DF9"/>
    <w:rsid w:val="00473097"/>
    <w:rsid w:val="00473270"/>
    <w:rsid w:val="004735D2"/>
    <w:rsid w:val="004737E3"/>
    <w:rsid w:val="004738F7"/>
    <w:rsid w:val="00473A1D"/>
    <w:rsid w:val="00473D02"/>
    <w:rsid w:val="00474146"/>
    <w:rsid w:val="00474217"/>
    <w:rsid w:val="004742DC"/>
    <w:rsid w:val="004743CB"/>
    <w:rsid w:val="004743D3"/>
    <w:rsid w:val="00474454"/>
    <w:rsid w:val="0047453A"/>
    <w:rsid w:val="0047456A"/>
    <w:rsid w:val="0047469B"/>
    <w:rsid w:val="00474880"/>
    <w:rsid w:val="00474A55"/>
    <w:rsid w:val="00474C50"/>
    <w:rsid w:val="00474CE6"/>
    <w:rsid w:val="00474D4F"/>
    <w:rsid w:val="00474F3F"/>
    <w:rsid w:val="004750B7"/>
    <w:rsid w:val="00475154"/>
    <w:rsid w:val="00475236"/>
    <w:rsid w:val="004752B0"/>
    <w:rsid w:val="004752C8"/>
    <w:rsid w:val="00475371"/>
    <w:rsid w:val="00475466"/>
    <w:rsid w:val="004755AC"/>
    <w:rsid w:val="00475606"/>
    <w:rsid w:val="00475715"/>
    <w:rsid w:val="004757F5"/>
    <w:rsid w:val="00475871"/>
    <w:rsid w:val="004758A8"/>
    <w:rsid w:val="00475906"/>
    <w:rsid w:val="00475A0B"/>
    <w:rsid w:val="00475AA6"/>
    <w:rsid w:val="00475BA6"/>
    <w:rsid w:val="00475EBF"/>
    <w:rsid w:val="00475ED0"/>
    <w:rsid w:val="00475F02"/>
    <w:rsid w:val="0047607F"/>
    <w:rsid w:val="0047624E"/>
    <w:rsid w:val="00476287"/>
    <w:rsid w:val="0047633E"/>
    <w:rsid w:val="004764CD"/>
    <w:rsid w:val="004765AD"/>
    <w:rsid w:val="00476749"/>
    <w:rsid w:val="004768F1"/>
    <w:rsid w:val="00476A84"/>
    <w:rsid w:val="00476B18"/>
    <w:rsid w:val="00476BEC"/>
    <w:rsid w:val="00476D6B"/>
    <w:rsid w:val="00476E89"/>
    <w:rsid w:val="00476EE0"/>
    <w:rsid w:val="00476FA4"/>
    <w:rsid w:val="00476FC2"/>
    <w:rsid w:val="0047731A"/>
    <w:rsid w:val="00477343"/>
    <w:rsid w:val="0047736A"/>
    <w:rsid w:val="00477403"/>
    <w:rsid w:val="00477897"/>
    <w:rsid w:val="004778C0"/>
    <w:rsid w:val="00477960"/>
    <w:rsid w:val="0047797A"/>
    <w:rsid w:val="004779D2"/>
    <w:rsid w:val="00477A2C"/>
    <w:rsid w:val="00477A5D"/>
    <w:rsid w:val="00477B80"/>
    <w:rsid w:val="00477BAB"/>
    <w:rsid w:val="00477C60"/>
    <w:rsid w:val="00477D10"/>
    <w:rsid w:val="00477D8C"/>
    <w:rsid w:val="00477E28"/>
    <w:rsid w:val="00477F51"/>
    <w:rsid w:val="00480064"/>
    <w:rsid w:val="00480152"/>
    <w:rsid w:val="00480330"/>
    <w:rsid w:val="004803F7"/>
    <w:rsid w:val="00480653"/>
    <w:rsid w:val="00480769"/>
    <w:rsid w:val="0048083F"/>
    <w:rsid w:val="00480A98"/>
    <w:rsid w:val="00480D44"/>
    <w:rsid w:val="00480DEF"/>
    <w:rsid w:val="00480E39"/>
    <w:rsid w:val="00480E84"/>
    <w:rsid w:val="00480FEB"/>
    <w:rsid w:val="004810C9"/>
    <w:rsid w:val="004810CC"/>
    <w:rsid w:val="00481207"/>
    <w:rsid w:val="00481212"/>
    <w:rsid w:val="00481217"/>
    <w:rsid w:val="00481384"/>
    <w:rsid w:val="0048146A"/>
    <w:rsid w:val="004814F3"/>
    <w:rsid w:val="00481B2D"/>
    <w:rsid w:val="00481BA1"/>
    <w:rsid w:val="00481C57"/>
    <w:rsid w:val="0048210A"/>
    <w:rsid w:val="00482358"/>
    <w:rsid w:val="004823B2"/>
    <w:rsid w:val="00482527"/>
    <w:rsid w:val="00482536"/>
    <w:rsid w:val="00482601"/>
    <w:rsid w:val="00482732"/>
    <w:rsid w:val="004827D8"/>
    <w:rsid w:val="00482867"/>
    <w:rsid w:val="00482A15"/>
    <w:rsid w:val="00482A57"/>
    <w:rsid w:val="00482C0B"/>
    <w:rsid w:val="00482C7A"/>
    <w:rsid w:val="00482C7F"/>
    <w:rsid w:val="00482C98"/>
    <w:rsid w:val="00482E31"/>
    <w:rsid w:val="00482E61"/>
    <w:rsid w:val="00482EB1"/>
    <w:rsid w:val="00483109"/>
    <w:rsid w:val="004832FA"/>
    <w:rsid w:val="00483459"/>
    <w:rsid w:val="00483496"/>
    <w:rsid w:val="0048353C"/>
    <w:rsid w:val="004835B1"/>
    <w:rsid w:val="00483670"/>
    <w:rsid w:val="004836D3"/>
    <w:rsid w:val="004837FC"/>
    <w:rsid w:val="0048381A"/>
    <w:rsid w:val="00483827"/>
    <w:rsid w:val="004838A2"/>
    <w:rsid w:val="004839DF"/>
    <w:rsid w:val="00483B51"/>
    <w:rsid w:val="00483D34"/>
    <w:rsid w:val="00483E7E"/>
    <w:rsid w:val="00483EFB"/>
    <w:rsid w:val="00483FC0"/>
    <w:rsid w:val="00483FE8"/>
    <w:rsid w:val="00484111"/>
    <w:rsid w:val="00484447"/>
    <w:rsid w:val="0048444A"/>
    <w:rsid w:val="00484461"/>
    <w:rsid w:val="004844EF"/>
    <w:rsid w:val="004845F8"/>
    <w:rsid w:val="00484611"/>
    <w:rsid w:val="004847E8"/>
    <w:rsid w:val="004848B9"/>
    <w:rsid w:val="004849FA"/>
    <w:rsid w:val="00484A9A"/>
    <w:rsid w:val="00484B6F"/>
    <w:rsid w:val="00484EC7"/>
    <w:rsid w:val="00484F25"/>
    <w:rsid w:val="00484F26"/>
    <w:rsid w:val="00484F48"/>
    <w:rsid w:val="00484FD7"/>
    <w:rsid w:val="00485101"/>
    <w:rsid w:val="00485157"/>
    <w:rsid w:val="00485181"/>
    <w:rsid w:val="00485226"/>
    <w:rsid w:val="0048529C"/>
    <w:rsid w:val="004853F9"/>
    <w:rsid w:val="0048565E"/>
    <w:rsid w:val="0048568C"/>
    <w:rsid w:val="0048581C"/>
    <w:rsid w:val="004858C2"/>
    <w:rsid w:val="004859E1"/>
    <w:rsid w:val="00485B53"/>
    <w:rsid w:val="00485CA5"/>
    <w:rsid w:val="00485F98"/>
    <w:rsid w:val="00486011"/>
    <w:rsid w:val="00486052"/>
    <w:rsid w:val="00486166"/>
    <w:rsid w:val="00486252"/>
    <w:rsid w:val="00486295"/>
    <w:rsid w:val="00486360"/>
    <w:rsid w:val="00486582"/>
    <w:rsid w:val="00486593"/>
    <w:rsid w:val="004865D1"/>
    <w:rsid w:val="004865D5"/>
    <w:rsid w:val="0048677A"/>
    <w:rsid w:val="0048690A"/>
    <w:rsid w:val="00486B13"/>
    <w:rsid w:val="00486B59"/>
    <w:rsid w:val="00486B88"/>
    <w:rsid w:val="00486DA6"/>
    <w:rsid w:val="00486FD4"/>
    <w:rsid w:val="004871E1"/>
    <w:rsid w:val="004872E2"/>
    <w:rsid w:val="00487346"/>
    <w:rsid w:val="0048741A"/>
    <w:rsid w:val="00487432"/>
    <w:rsid w:val="0048746C"/>
    <w:rsid w:val="00487470"/>
    <w:rsid w:val="00487613"/>
    <w:rsid w:val="00487B23"/>
    <w:rsid w:val="00487B31"/>
    <w:rsid w:val="00487BFA"/>
    <w:rsid w:val="00487C2B"/>
    <w:rsid w:val="00487C40"/>
    <w:rsid w:val="00487D0E"/>
    <w:rsid w:val="00487D48"/>
    <w:rsid w:val="00487E5E"/>
    <w:rsid w:val="00487F9B"/>
    <w:rsid w:val="00490173"/>
    <w:rsid w:val="00490248"/>
    <w:rsid w:val="0049047D"/>
    <w:rsid w:val="004904B0"/>
    <w:rsid w:val="004905D0"/>
    <w:rsid w:val="00490670"/>
    <w:rsid w:val="00490858"/>
    <w:rsid w:val="004909BD"/>
    <w:rsid w:val="00490C1C"/>
    <w:rsid w:val="00490C24"/>
    <w:rsid w:val="00490C2D"/>
    <w:rsid w:val="00490F25"/>
    <w:rsid w:val="00490FF2"/>
    <w:rsid w:val="0049103C"/>
    <w:rsid w:val="0049117D"/>
    <w:rsid w:val="00491509"/>
    <w:rsid w:val="00491552"/>
    <w:rsid w:val="00491804"/>
    <w:rsid w:val="00491841"/>
    <w:rsid w:val="00491BB9"/>
    <w:rsid w:val="00491C08"/>
    <w:rsid w:val="00491F39"/>
    <w:rsid w:val="00491FF3"/>
    <w:rsid w:val="004920AA"/>
    <w:rsid w:val="004920B6"/>
    <w:rsid w:val="00492158"/>
    <w:rsid w:val="0049216B"/>
    <w:rsid w:val="00492260"/>
    <w:rsid w:val="0049249B"/>
    <w:rsid w:val="00492566"/>
    <w:rsid w:val="00492600"/>
    <w:rsid w:val="00492618"/>
    <w:rsid w:val="0049282E"/>
    <w:rsid w:val="004929B0"/>
    <w:rsid w:val="004929E5"/>
    <w:rsid w:val="00492BA7"/>
    <w:rsid w:val="00492DBF"/>
    <w:rsid w:val="00492F0F"/>
    <w:rsid w:val="00492F59"/>
    <w:rsid w:val="0049309F"/>
    <w:rsid w:val="00493121"/>
    <w:rsid w:val="004931CB"/>
    <w:rsid w:val="0049327F"/>
    <w:rsid w:val="004932EF"/>
    <w:rsid w:val="004935FF"/>
    <w:rsid w:val="00493619"/>
    <w:rsid w:val="00493721"/>
    <w:rsid w:val="004937A6"/>
    <w:rsid w:val="004938B7"/>
    <w:rsid w:val="0049396F"/>
    <w:rsid w:val="004939F7"/>
    <w:rsid w:val="00493B30"/>
    <w:rsid w:val="00493C7C"/>
    <w:rsid w:val="0049408A"/>
    <w:rsid w:val="00494145"/>
    <w:rsid w:val="004941A3"/>
    <w:rsid w:val="004941AA"/>
    <w:rsid w:val="00494375"/>
    <w:rsid w:val="00494490"/>
    <w:rsid w:val="00494521"/>
    <w:rsid w:val="0049459F"/>
    <w:rsid w:val="00494618"/>
    <w:rsid w:val="004946E7"/>
    <w:rsid w:val="004946FA"/>
    <w:rsid w:val="0049471E"/>
    <w:rsid w:val="00494747"/>
    <w:rsid w:val="0049481B"/>
    <w:rsid w:val="0049494D"/>
    <w:rsid w:val="004949CE"/>
    <w:rsid w:val="00494A1D"/>
    <w:rsid w:val="00494A6D"/>
    <w:rsid w:val="00494B1E"/>
    <w:rsid w:val="00494BD0"/>
    <w:rsid w:val="00494D43"/>
    <w:rsid w:val="00494FD2"/>
    <w:rsid w:val="00494FF9"/>
    <w:rsid w:val="004952EB"/>
    <w:rsid w:val="004952F8"/>
    <w:rsid w:val="0049537F"/>
    <w:rsid w:val="004954D9"/>
    <w:rsid w:val="00495555"/>
    <w:rsid w:val="00495619"/>
    <w:rsid w:val="00495779"/>
    <w:rsid w:val="004958FC"/>
    <w:rsid w:val="0049591C"/>
    <w:rsid w:val="00495955"/>
    <w:rsid w:val="00495B98"/>
    <w:rsid w:val="00495BF3"/>
    <w:rsid w:val="00495D63"/>
    <w:rsid w:val="00495D86"/>
    <w:rsid w:val="00495ED9"/>
    <w:rsid w:val="00495FD4"/>
    <w:rsid w:val="00495FD7"/>
    <w:rsid w:val="004960AC"/>
    <w:rsid w:val="004960D8"/>
    <w:rsid w:val="004961F5"/>
    <w:rsid w:val="00496312"/>
    <w:rsid w:val="0049637B"/>
    <w:rsid w:val="00496448"/>
    <w:rsid w:val="004964B3"/>
    <w:rsid w:val="004965D7"/>
    <w:rsid w:val="004965FB"/>
    <w:rsid w:val="0049663A"/>
    <w:rsid w:val="0049665E"/>
    <w:rsid w:val="00496682"/>
    <w:rsid w:val="004966F6"/>
    <w:rsid w:val="00496732"/>
    <w:rsid w:val="004968F4"/>
    <w:rsid w:val="00496909"/>
    <w:rsid w:val="00496917"/>
    <w:rsid w:val="00496E81"/>
    <w:rsid w:val="00496E98"/>
    <w:rsid w:val="00496EDF"/>
    <w:rsid w:val="00496EE3"/>
    <w:rsid w:val="00496FFE"/>
    <w:rsid w:val="004970BA"/>
    <w:rsid w:val="0049720F"/>
    <w:rsid w:val="00497232"/>
    <w:rsid w:val="004972F8"/>
    <w:rsid w:val="004974E5"/>
    <w:rsid w:val="00497544"/>
    <w:rsid w:val="00497798"/>
    <w:rsid w:val="004977B9"/>
    <w:rsid w:val="00497A4B"/>
    <w:rsid w:val="00497AE0"/>
    <w:rsid w:val="00497C57"/>
    <w:rsid w:val="00497CA8"/>
    <w:rsid w:val="00497ED4"/>
    <w:rsid w:val="00497F42"/>
    <w:rsid w:val="00497FCA"/>
    <w:rsid w:val="00497FF4"/>
    <w:rsid w:val="004A0082"/>
    <w:rsid w:val="004A00B7"/>
    <w:rsid w:val="004A0189"/>
    <w:rsid w:val="004A0268"/>
    <w:rsid w:val="004A02CB"/>
    <w:rsid w:val="004A06E9"/>
    <w:rsid w:val="004A07F1"/>
    <w:rsid w:val="004A0A35"/>
    <w:rsid w:val="004A0E50"/>
    <w:rsid w:val="004A10A0"/>
    <w:rsid w:val="004A116C"/>
    <w:rsid w:val="004A1255"/>
    <w:rsid w:val="004A133C"/>
    <w:rsid w:val="004A1388"/>
    <w:rsid w:val="004A143D"/>
    <w:rsid w:val="004A157B"/>
    <w:rsid w:val="004A1640"/>
    <w:rsid w:val="004A165A"/>
    <w:rsid w:val="004A1948"/>
    <w:rsid w:val="004A1950"/>
    <w:rsid w:val="004A199A"/>
    <w:rsid w:val="004A1A9A"/>
    <w:rsid w:val="004A1AD6"/>
    <w:rsid w:val="004A1C78"/>
    <w:rsid w:val="004A1CCF"/>
    <w:rsid w:val="004A1FF4"/>
    <w:rsid w:val="004A20BB"/>
    <w:rsid w:val="004A21A3"/>
    <w:rsid w:val="004A235C"/>
    <w:rsid w:val="004A23E3"/>
    <w:rsid w:val="004A2450"/>
    <w:rsid w:val="004A24C5"/>
    <w:rsid w:val="004A24CB"/>
    <w:rsid w:val="004A2504"/>
    <w:rsid w:val="004A25A7"/>
    <w:rsid w:val="004A2695"/>
    <w:rsid w:val="004A2877"/>
    <w:rsid w:val="004A28AF"/>
    <w:rsid w:val="004A2A19"/>
    <w:rsid w:val="004A2A4E"/>
    <w:rsid w:val="004A2B49"/>
    <w:rsid w:val="004A2C4C"/>
    <w:rsid w:val="004A2D09"/>
    <w:rsid w:val="004A2D50"/>
    <w:rsid w:val="004A2E79"/>
    <w:rsid w:val="004A2EA8"/>
    <w:rsid w:val="004A2EAB"/>
    <w:rsid w:val="004A2F0D"/>
    <w:rsid w:val="004A2FDE"/>
    <w:rsid w:val="004A2FFC"/>
    <w:rsid w:val="004A30A4"/>
    <w:rsid w:val="004A31A0"/>
    <w:rsid w:val="004A334A"/>
    <w:rsid w:val="004A3389"/>
    <w:rsid w:val="004A33A9"/>
    <w:rsid w:val="004A33CA"/>
    <w:rsid w:val="004A36B3"/>
    <w:rsid w:val="004A3A4E"/>
    <w:rsid w:val="004A3AA4"/>
    <w:rsid w:val="004A3B3F"/>
    <w:rsid w:val="004A3BA1"/>
    <w:rsid w:val="004A3C33"/>
    <w:rsid w:val="004A3C6B"/>
    <w:rsid w:val="004A3DE1"/>
    <w:rsid w:val="004A3F4C"/>
    <w:rsid w:val="004A3F7F"/>
    <w:rsid w:val="004A3F9F"/>
    <w:rsid w:val="004A3FBB"/>
    <w:rsid w:val="004A447D"/>
    <w:rsid w:val="004A45FE"/>
    <w:rsid w:val="004A465E"/>
    <w:rsid w:val="004A466C"/>
    <w:rsid w:val="004A470F"/>
    <w:rsid w:val="004A4885"/>
    <w:rsid w:val="004A4A86"/>
    <w:rsid w:val="004A4A8D"/>
    <w:rsid w:val="004A4CC0"/>
    <w:rsid w:val="004A4E84"/>
    <w:rsid w:val="004A4E90"/>
    <w:rsid w:val="004A4FB5"/>
    <w:rsid w:val="004A519B"/>
    <w:rsid w:val="004A52AE"/>
    <w:rsid w:val="004A52C1"/>
    <w:rsid w:val="004A570C"/>
    <w:rsid w:val="004A596F"/>
    <w:rsid w:val="004A5AE7"/>
    <w:rsid w:val="004A5AE8"/>
    <w:rsid w:val="004A5B8B"/>
    <w:rsid w:val="004A5CCC"/>
    <w:rsid w:val="004A5E76"/>
    <w:rsid w:val="004A5FCB"/>
    <w:rsid w:val="004A611A"/>
    <w:rsid w:val="004A639F"/>
    <w:rsid w:val="004A63B5"/>
    <w:rsid w:val="004A63DD"/>
    <w:rsid w:val="004A63E1"/>
    <w:rsid w:val="004A64EC"/>
    <w:rsid w:val="004A65B0"/>
    <w:rsid w:val="004A660E"/>
    <w:rsid w:val="004A66DB"/>
    <w:rsid w:val="004A66E0"/>
    <w:rsid w:val="004A6756"/>
    <w:rsid w:val="004A6765"/>
    <w:rsid w:val="004A6803"/>
    <w:rsid w:val="004A6940"/>
    <w:rsid w:val="004A69A1"/>
    <w:rsid w:val="004A6A01"/>
    <w:rsid w:val="004A6B99"/>
    <w:rsid w:val="004A6BA7"/>
    <w:rsid w:val="004A6C0F"/>
    <w:rsid w:val="004A6C75"/>
    <w:rsid w:val="004A6E02"/>
    <w:rsid w:val="004A6E04"/>
    <w:rsid w:val="004A6EAB"/>
    <w:rsid w:val="004A708A"/>
    <w:rsid w:val="004A7325"/>
    <w:rsid w:val="004A7467"/>
    <w:rsid w:val="004A767C"/>
    <w:rsid w:val="004A7901"/>
    <w:rsid w:val="004A7A39"/>
    <w:rsid w:val="004A7A48"/>
    <w:rsid w:val="004A7B9B"/>
    <w:rsid w:val="004A7C4A"/>
    <w:rsid w:val="004A7EF7"/>
    <w:rsid w:val="004B006F"/>
    <w:rsid w:val="004B0095"/>
    <w:rsid w:val="004B00B7"/>
    <w:rsid w:val="004B012D"/>
    <w:rsid w:val="004B0238"/>
    <w:rsid w:val="004B02B1"/>
    <w:rsid w:val="004B05C6"/>
    <w:rsid w:val="004B0619"/>
    <w:rsid w:val="004B06BC"/>
    <w:rsid w:val="004B06C2"/>
    <w:rsid w:val="004B06EC"/>
    <w:rsid w:val="004B07AB"/>
    <w:rsid w:val="004B07D5"/>
    <w:rsid w:val="004B0B34"/>
    <w:rsid w:val="004B0BC5"/>
    <w:rsid w:val="004B0D48"/>
    <w:rsid w:val="004B0DA9"/>
    <w:rsid w:val="004B0E35"/>
    <w:rsid w:val="004B0EDD"/>
    <w:rsid w:val="004B0EEC"/>
    <w:rsid w:val="004B0F58"/>
    <w:rsid w:val="004B11BD"/>
    <w:rsid w:val="004B12B5"/>
    <w:rsid w:val="004B1347"/>
    <w:rsid w:val="004B144A"/>
    <w:rsid w:val="004B14B0"/>
    <w:rsid w:val="004B14BA"/>
    <w:rsid w:val="004B1545"/>
    <w:rsid w:val="004B1562"/>
    <w:rsid w:val="004B1641"/>
    <w:rsid w:val="004B1714"/>
    <w:rsid w:val="004B1727"/>
    <w:rsid w:val="004B18FA"/>
    <w:rsid w:val="004B195A"/>
    <w:rsid w:val="004B19E3"/>
    <w:rsid w:val="004B1B28"/>
    <w:rsid w:val="004B1D3A"/>
    <w:rsid w:val="004B1F4F"/>
    <w:rsid w:val="004B209C"/>
    <w:rsid w:val="004B20B8"/>
    <w:rsid w:val="004B2129"/>
    <w:rsid w:val="004B2167"/>
    <w:rsid w:val="004B217F"/>
    <w:rsid w:val="004B2279"/>
    <w:rsid w:val="004B2416"/>
    <w:rsid w:val="004B25A6"/>
    <w:rsid w:val="004B27EE"/>
    <w:rsid w:val="004B284E"/>
    <w:rsid w:val="004B296D"/>
    <w:rsid w:val="004B2C4C"/>
    <w:rsid w:val="004B2DE7"/>
    <w:rsid w:val="004B2E03"/>
    <w:rsid w:val="004B2F23"/>
    <w:rsid w:val="004B33D8"/>
    <w:rsid w:val="004B357F"/>
    <w:rsid w:val="004B35A2"/>
    <w:rsid w:val="004B35F9"/>
    <w:rsid w:val="004B360D"/>
    <w:rsid w:val="004B3678"/>
    <w:rsid w:val="004B37B7"/>
    <w:rsid w:val="004B3892"/>
    <w:rsid w:val="004B38E3"/>
    <w:rsid w:val="004B39A1"/>
    <w:rsid w:val="004B3A17"/>
    <w:rsid w:val="004B3A1F"/>
    <w:rsid w:val="004B3D8C"/>
    <w:rsid w:val="004B3DD4"/>
    <w:rsid w:val="004B3E57"/>
    <w:rsid w:val="004B4763"/>
    <w:rsid w:val="004B4837"/>
    <w:rsid w:val="004B4911"/>
    <w:rsid w:val="004B4A51"/>
    <w:rsid w:val="004B4A79"/>
    <w:rsid w:val="004B4A96"/>
    <w:rsid w:val="004B4BF4"/>
    <w:rsid w:val="004B4C06"/>
    <w:rsid w:val="004B4C48"/>
    <w:rsid w:val="004B4C52"/>
    <w:rsid w:val="004B4D65"/>
    <w:rsid w:val="004B4E02"/>
    <w:rsid w:val="004B4E95"/>
    <w:rsid w:val="004B4EB3"/>
    <w:rsid w:val="004B4EDE"/>
    <w:rsid w:val="004B4EF1"/>
    <w:rsid w:val="004B4FA3"/>
    <w:rsid w:val="004B50C8"/>
    <w:rsid w:val="004B5225"/>
    <w:rsid w:val="004B5370"/>
    <w:rsid w:val="004B53DE"/>
    <w:rsid w:val="004B5420"/>
    <w:rsid w:val="004B567C"/>
    <w:rsid w:val="004B56F5"/>
    <w:rsid w:val="004B593D"/>
    <w:rsid w:val="004B5BA7"/>
    <w:rsid w:val="004B5C43"/>
    <w:rsid w:val="004B5D15"/>
    <w:rsid w:val="004B6256"/>
    <w:rsid w:val="004B62DD"/>
    <w:rsid w:val="004B6302"/>
    <w:rsid w:val="004B646C"/>
    <w:rsid w:val="004B651D"/>
    <w:rsid w:val="004B6531"/>
    <w:rsid w:val="004B67EE"/>
    <w:rsid w:val="004B6880"/>
    <w:rsid w:val="004B69E8"/>
    <w:rsid w:val="004B6A92"/>
    <w:rsid w:val="004B6B5B"/>
    <w:rsid w:val="004B6C6D"/>
    <w:rsid w:val="004B6D0C"/>
    <w:rsid w:val="004B6F37"/>
    <w:rsid w:val="004B6FBE"/>
    <w:rsid w:val="004B7053"/>
    <w:rsid w:val="004B7395"/>
    <w:rsid w:val="004B7441"/>
    <w:rsid w:val="004B74AB"/>
    <w:rsid w:val="004B758D"/>
    <w:rsid w:val="004B75C9"/>
    <w:rsid w:val="004B7672"/>
    <w:rsid w:val="004B768C"/>
    <w:rsid w:val="004B7753"/>
    <w:rsid w:val="004B79F7"/>
    <w:rsid w:val="004B7A06"/>
    <w:rsid w:val="004B7A3A"/>
    <w:rsid w:val="004B7BA8"/>
    <w:rsid w:val="004B7F8B"/>
    <w:rsid w:val="004C000D"/>
    <w:rsid w:val="004C00B0"/>
    <w:rsid w:val="004C00B1"/>
    <w:rsid w:val="004C0163"/>
    <w:rsid w:val="004C0247"/>
    <w:rsid w:val="004C02DE"/>
    <w:rsid w:val="004C034A"/>
    <w:rsid w:val="004C04BA"/>
    <w:rsid w:val="004C054C"/>
    <w:rsid w:val="004C05CF"/>
    <w:rsid w:val="004C05DE"/>
    <w:rsid w:val="004C0692"/>
    <w:rsid w:val="004C06A7"/>
    <w:rsid w:val="004C06A9"/>
    <w:rsid w:val="004C06B2"/>
    <w:rsid w:val="004C06CE"/>
    <w:rsid w:val="004C0884"/>
    <w:rsid w:val="004C095D"/>
    <w:rsid w:val="004C0A6E"/>
    <w:rsid w:val="004C0A82"/>
    <w:rsid w:val="004C0B9B"/>
    <w:rsid w:val="004C0C9D"/>
    <w:rsid w:val="004C0CC2"/>
    <w:rsid w:val="004C0DA6"/>
    <w:rsid w:val="004C0F2F"/>
    <w:rsid w:val="004C0F3C"/>
    <w:rsid w:val="004C0FE2"/>
    <w:rsid w:val="004C1078"/>
    <w:rsid w:val="004C1158"/>
    <w:rsid w:val="004C124B"/>
    <w:rsid w:val="004C12FD"/>
    <w:rsid w:val="004C140F"/>
    <w:rsid w:val="004C148E"/>
    <w:rsid w:val="004C15B0"/>
    <w:rsid w:val="004C16D1"/>
    <w:rsid w:val="004C1727"/>
    <w:rsid w:val="004C1760"/>
    <w:rsid w:val="004C1B7C"/>
    <w:rsid w:val="004C1BE7"/>
    <w:rsid w:val="004C1CFB"/>
    <w:rsid w:val="004C1D00"/>
    <w:rsid w:val="004C1D12"/>
    <w:rsid w:val="004C1D2B"/>
    <w:rsid w:val="004C1E7D"/>
    <w:rsid w:val="004C1F9E"/>
    <w:rsid w:val="004C1FF3"/>
    <w:rsid w:val="004C206A"/>
    <w:rsid w:val="004C213B"/>
    <w:rsid w:val="004C223C"/>
    <w:rsid w:val="004C2315"/>
    <w:rsid w:val="004C23BE"/>
    <w:rsid w:val="004C2444"/>
    <w:rsid w:val="004C26B2"/>
    <w:rsid w:val="004C2742"/>
    <w:rsid w:val="004C29AF"/>
    <w:rsid w:val="004C2BA0"/>
    <w:rsid w:val="004C2D6A"/>
    <w:rsid w:val="004C2ED5"/>
    <w:rsid w:val="004C2F7B"/>
    <w:rsid w:val="004C2FB2"/>
    <w:rsid w:val="004C30FE"/>
    <w:rsid w:val="004C31E6"/>
    <w:rsid w:val="004C344A"/>
    <w:rsid w:val="004C34CA"/>
    <w:rsid w:val="004C34ED"/>
    <w:rsid w:val="004C3753"/>
    <w:rsid w:val="004C399B"/>
    <w:rsid w:val="004C3CD1"/>
    <w:rsid w:val="004C3D33"/>
    <w:rsid w:val="004C3D58"/>
    <w:rsid w:val="004C3F40"/>
    <w:rsid w:val="004C3F45"/>
    <w:rsid w:val="004C3F9E"/>
    <w:rsid w:val="004C408A"/>
    <w:rsid w:val="004C40DA"/>
    <w:rsid w:val="004C4234"/>
    <w:rsid w:val="004C4367"/>
    <w:rsid w:val="004C4537"/>
    <w:rsid w:val="004C4873"/>
    <w:rsid w:val="004C4AA5"/>
    <w:rsid w:val="004C4B04"/>
    <w:rsid w:val="004C4C82"/>
    <w:rsid w:val="004C4E3D"/>
    <w:rsid w:val="004C4EAA"/>
    <w:rsid w:val="004C4EDE"/>
    <w:rsid w:val="004C4F58"/>
    <w:rsid w:val="004C4FEC"/>
    <w:rsid w:val="004C501D"/>
    <w:rsid w:val="004C5112"/>
    <w:rsid w:val="004C5419"/>
    <w:rsid w:val="004C545C"/>
    <w:rsid w:val="004C5466"/>
    <w:rsid w:val="004C5693"/>
    <w:rsid w:val="004C56C7"/>
    <w:rsid w:val="004C5826"/>
    <w:rsid w:val="004C5876"/>
    <w:rsid w:val="004C5AE7"/>
    <w:rsid w:val="004C5AF4"/>
    <w:rsid w:val="004C5BCC"/>
    <w:rsid w:val="004C5C88"/>
    <w:rsid w:val="004C5C91"/>
    <w:rsid w:val="004C5D07"/>
    <w:rsid w:val="004C5D8E"/>
    <w:rsid w:val="004C5E66"/>
    <w:rsid w:val="004C5E8F"/>
    <w:rsid w:val="004C5EC5"/>
    <w:rsid w:val="004C6024"/>
    <w:rsid w:val="004C6033"/>
    <w:rsid w:val="004C603F"/>
    <w:rsid w:val="004C607B"/>
    <w:rsid w:val="004C60AC"/>
    <w:rsid w:val="004C6106"/>
    <w:rsid w:val="004C617F"/>
    <w:rsid w:val="004C62FB"/>
    <w:rsid w:val="004C64C1"/>
    <w:rsid w:val="004C65A1"/>
    <w:rsid w:val="004C65EC"/>
    <w:rsid w:val="004C6689"/>
    <w:rsid w:val="004C6728"/>
    <w:rsid w:val="004C672C"/>
    <w:rsid w:val="004C694D"/>
    <w:rsid w:val="004C6D76"/>
    <w:rsid w:val="004C6D77"/>
    <w:rsid w:val="004C6E0F"/>
    <w:rsid w:val="004C6FB6"/>
    <w:rsid w:val="004C7034"/>
    <w:rsid w:val="004C712C"/>
    <w:rsid w:val="004C71BF"/>
    <w:rsid w:val="004C71F6"/>
    <w:rsid w:val="004C72F1"/>
    <w:rsid w:val="004C72FB"/>
    <w:rsid w:val="004C73FD"/>
    <w:rsid w:val="004C7417"/>
    <w:rsid w:val="004C7596"/>
    <w:rsid w:val="004C75F4"/>
    <w:rsid w:val="004C76B3"/>
    <w:rsid w:val="004C77B9"/>
    <w:rsid w:val="004C78FC"/>
    <w:rsid w:val="004C7957"/>
    <w:rsid w:val="004C79DA"/>
    <w:rsid w:val="004C79E9"/>
    <w:rsid w:val="004C7B7B"/>
    <w:rsid w:val="004C7BA8"/>
    <w:rsid w:val="004C7C64"/>
    <w:rsid w:val="004C7D89"/>
    <w:rsid w:val="004C7F04"/>
    <w:rsid w:val="004C7F9F"/>
    <w:rsid w:val="004C7FC7"/>
    <w:rsid w:val="004D01C3"/>
    <w:rsid w:val="004D01E3"/>
    <w:rsid w:val="004D0374"/>
    <w:rsid w:val="004D03D0"/>
    <w:rsid w:val="004D0410"/>
    <w:rsid w:val="004D0718"/>
    <w:rsid w:val="004D07F9"/>
    <w:rsid w:val="004D089C"/>
    <w:rsid w:val="004D0ACF"/>
    <w:rsid w:val="004D0AE6"/>
    <w:rsid w:val="004D0C59"/>
    <w:rsid w:val="004D0F07"/>
    <w:rsid w:val="004D0F15"/>
    <w:rsid w:val="004D104D"/>
    <w:rsid w:val="004D1097"/>
    <w:rsid w:val="004D16ED"/>
    <w:rsid w:val="004D1816"/>
    <w:rsid w:val="004D1878"/>
    <w:rsid w:val="004D188F"/>
    <w:rsid w:val="004D18A2"/>
    <w:rsid w:val="004D195D"/>
    <w:rsid w:val="004D196D"/>
    <w:rsid w:val="004D1B72"/>
    <w:rsid w:val="004D1B89"/>
    <w:rsid w:val="004D1C5F"/>
    <w:rsid w:val="004D1FD7"/>
    <w:rsid w:val="004D207E"/>
    <w:rsid w:val="004D20D1"/>
    <w:rsid w:val="004D2246"/>
    <w:rsid w:val="004D2322"/>
    <w:rsid w:val="004D249E"/>
    <w:rsid w:val="004D25F8"/>
    <w:rsid w:val="004D264D"/>
    <w:rsid w:val="004D2745"/>
    <w:rsid w:val="004D283E"/>
    <w:rsid w:val="004D29C1"/>
    <w:rsid w:val="004D2A33"/>
    <w:rsid w:val="004D2AE0"/>
    <w:rsid w:val="004D2BA4"/>
    <w:rsid w:val="004D2BFB"/>
    <w:rsid w:val="004D2C55"/>
    <w:rsid w:val="004D2C5C"/>
    <w:rsid w:val="004D2CEA"/>
    <w:rsid w:val="004D2E5F"/>
    <w:rsid w:val="004D3073"/>
    <w:rsid w:val="004D315C"/>
    <w:rsid w:val="004D32A1"/>
    <w:rsid w:val="004D3341"/>
    <w:rsid w:val="004D369A"/>
    <w:rsid w:val="004D37A2"/>
    <w:rsid w:val="004D3A93"/>
    <w:rsid w:val="004D3AFE"/>
    <w:rsid w:val="004D3B78"/>
    <w:rsid w:val="004D3D0D"/>
    <w:rsid w:val="004D3DC6"/>
    <w:rsid w:val="004D3DFD"/>
    <w:rsid w:val="004D3E09"/>
    <w:rsid w:val="004D4095"/>
    <w:rsid w:val="004D411C"/>
    <w:rsid w:val="004D4226"/>
    <w:rsid w:val="004D424C"/>
    <w:rsid w:val="004D4378"/>
    <w:rsid w:val="004D457A"/>
    <w:rsid w:val="004D4591"/>
    <w:rsid w:val="004D4594"/>
    <w:rsid w:val="004D47ED"/>
    <w:rsid w:val="004D4B07"/>
    <w:rsid w:val="004D4BBD"/>
    <w:rsid w:val="004D4D85"/>
    <w:rsid w:val="004D4DA9"/>
    <w:rsid w:val="004D4E7F"/>
    <w:rsid w:val="004D4F85"/>
    <w:rsid w:val="004D5097"/>
    <w:rsid w:val="004D53FE"/>
    <w:rsid w:val="004D555E"/>
    <w:rsid w:val="004D5851"/>
    <w:rsid w:val="004D58F7"/>
    <w:rsid w:val="004D5967"/>
    <w:rsid w:val="004D5AF1"/>
    <w:rsid w:val="004D5D90"/>
    <w:rsid w:val="004D5DE7"/>
    <w:rsid w:val="004D610B"/>
    <w:rsid w:val="004D6113"/>
    <w:rsid w:val="004D619C"/>
    <w:rsid w:val="004D61DE"/>
    <w:rsid w:val="004D620A"/>
    <w:rsid w:val="004D621F"/>
    <w:rsid w:val="004D6597"/>
    <w:rsid w:val="004D65DF"/>
    <w:rsid w:val="004D672D"/>
    <w:rsid w:val="004D68B6"/>
    <w:rsid w:val="004D6928"/>
    <w:rsid w:val="004D6A31"/>
    <w:rsid w:val="004D6A84"/>
    <w:rsid w:val="004D6BBE"/>
    <w:rsid w:val="004D6DBA"/>
    <w:rsid w:val="004D6DF9"/>
    <w:rsid w:val="004D6E50"/>
    <w:rsid w:val="004D6EF3"/>
    <w:rsid w:val="004D70D7"/>
    <w:rsid w:val="004D7361"/>
    <w:rsid w:val="004D7372"/>
    <w:rsid w:val="004D753B"/>
    <w:rsid w:val="004D75CA"/>
    <w:rsid w:val="004D764F"/>
    <w:rsid w:val="004D779F"/>
    <w:rsid w:val="004D786F"/>
    <w:rsid w:val="004D7A20"/>
    <w:rsid w:val="004D7A8B"/>
    <w:rsid w:val="004D7B3B"/>
    <w:rsid w:val="004D7D29"/>
    <w:rsid w:val="004D7D2C"/>
    <w:rsid w:val="004D7DC5"/>
    <w:rsid w:val="004D7FBF"/>
    <w:rsid w:val="004E0051"/>
    <w:rsid w:val="004E00E9"/>
    <w:rsid w:val="004E022F"/>
    <w:rsid w:val="004E025A"/>
    <w:rsid w:val="004E02CA"/>
    <w:rsid w:val="004E0464"/>
    <w:rsid w:val="004E04BB"/>
    <w:rsid w:val="004E05FB"/>
    <w:rsid w:val="004E0670"/>
    <w:rsid w:val="004E08DE"/>
    <w:rsid w:val="004E0931"/>
    <w:rsid w:val="004E0935"/>
    <w:rsid w:val="004E0951"/>
    <w:rsid w:val="004E0A14"/>
    <w:rsid w:val="004E0A66"/>
    <w:rsid w:val="004E0B99"/>
    <w:rsid w:val="004E0C29"/>
    <w:rsid w:val="004E0D1B"/>
    <w:rsid w:val="004E0E22"/>
    <w:rsid w:val="004E1451"/>
    <w:rsid w:val="004E159E"/>
    <w:rsid w:val="004E164C"/>
    <w:rsid w:val="004E164D"/>
    <w:rsid w:val="004E1653"/>
    <w:rsid w:val="004E18B2"/>
    <w:rsid w:val="004E1B75"/>
    <w:rsid w:val="004E1B7F"/>
    <w:rsid w:val="004E1B98"/>
    <w:rsid w:val="004E1D1A"/>
    <w:rsid w:val="004E1D1B"/>
    <w:rsid w:val="004E1ECD"/>
    <w:rsid w:val="004E1EF5"/>
    <w:rsid w:val="004E202D"/>
    <w:rsid w:val="004E203E"/>
    <w:rsid w:val="004E2215"/>
    <w:rsid w:val="004E22AC"/>
    <w:rsid w:val="004E24D5"/>
    <w:rsid w:val="004E25DA"/>
    <w:rsid w:val="004E2674"/>
    <w:rsid w:val="004E26C2"/>
    <w:rsid w:val="004E26F4"/>
    <w:rsid w:val="004E27DB"/>
    <w:rsid w:val="004E2861"/>
    <w:rsid w:val="004E28BD"/>
    <w:rsid w:val="004E2949"/>
    <w:rsid w:val="004E2A7A"/>
    <w:rsid w:val="004E2A9E"/>
    <w:rsid w:val="004E2AC2"/>
    <w:rsid w:val="004E2B4E"/>
    <w:rsid w:val="004E2B78"/>
    <w:rsid w:val="004E2CBE"/>
    <w:rsid w:val="004E2CFB"/>
    <w:rsid w:val="004E2DA2"/>
    <w:rsid w:val="004E2E18"/>
    <w:rsid w:val="004E2E8D"/>
    <w:rsid w:val="004E3031"/>
    <w:rsid w:val="004E3174"/>
    <w:rsid w:val="004E3184"/>
    <w:rsid w:val="004E31A2"/>
    <w:rsid w:val="004E31DF"/>
    <w:rsid w:val="004E34CE"/>
    <w:rsid w:val="004E35CD"/>
    <w:rsid w:val="004E377C"/>
    <w:rsid w:val="004E3794"/>
    <w:rsid w:val="004E381F"/>
    <w:rsid w:val="004E3906"/>
    <w:rsid w:val="004E3A9F"/>
    <w:rsid w:val="004E3B9B"/>
    <w:rsid w:val="004E3C2C"/>
    <w:rsid w:val="004E3F54"/>
    <w:rsid w:val="004E3FE9"/>
    <w:rsid w:val="004E40C3"/>
    <w:rsid w:val="004E4140"/>
    <w:rsid w:val="004E41DD"/>
    <w:rsid w:val="004E42B8"/>
    <w:rsid w:val="004E434D"/>
    <w:rsid w:val="004E44B3"/>
    <w:rsid w:val="004E4697"/>
    <w:rsid w:val="004E46ED"/>
    <w:rsid w:val="004E482C"/>
    <w:rsid w:val="004E4D13"/>
    <w:rsid w:val="004E4D3A"/>
    <w:rsid w:val="004E4DDD"/>
    <w:rsid w:val="004E4E36"/>
    <w:rsid w:val="004E4E85"/>
    <w:rsid w:val="004E4EDE"/>
    <w:rsid w:val="004E4F82"/>
    <w:rsid w:val="004E515C"/>
    <w:rsid w:val="004E52EC"/>
    <w:rsid w:val="004E5326"/>
    <w:rsid w:val="004E53AD"/>
    <w:rsid w:val="004E543D"/>
    <w:rsid w:val="004E54E7"/>
    <w:rsid w:val="004E54F4"/>
    <w:rsid w:val="004E5527"/>
    <w:rsid w:val="004E55E9"/>
    <w:rsid w:val="004E5735"/>
    <w:rsid w:val="004E5858"/>
    <w:rsid w:val="004E58B1"/>
    <w:rsid w:val="004E5BF7"/>
    <w:rsid w:val="004E5CD5"/>
    <w:rsid w:val="004E5D3D"/>
    <w:rsid w:val="004E5FF1"/>
    <w:rsid w:val="004E60F7"/>
    <w:rsid w:val="004E6289"/>
    <w:rsid w:val="004E62D4"/>
    <w:rsid w:val="004E6446"/>
    <w:rsid w:val="004E6487"/>
    <w:rsid w:val="004E64C4"/>
    <w:rsid w:val="004E656C"/>
    <w:rsid w:val="004E6733"/>
    <w:rsid w:val="004E6765"/>
    <w:rsid w:val="004E67EE"/>
    <w:rsid w:val="004E6BE8"/>
    <w:rsid w:val="004E6BFD"/>
    <w:rsid w:val="004E6C6F"/>
    <w:rsid w:val="004E6DB9"/>
    <w:rsid w:val="004E6EC2"/>
    <w:rsid w:val="004E6FEC"/>
    <w:rsid w:val="004E71FB"/>
    <w:rsid w:val="004E7202"/>
    <w:rsid w:val="004E74BD"/>
    <w:rsid w:val="004E7546"/>
    <w:rsid w:val="004E75A0"/>
    <w:rsid w:val="004E774A"/>
    <w:rsid w:val="004E7D55"/>
    <w:rsid w:val="004E7DF9"/>
    <w:rsid w:val="004F0090"/>
    <w:rsid w:val="004F0241"/>
    <w:rsid w:val="004F0252"/>
    <w:rsid w:val="004F0253"/>
    <w:rsid w:val="004F032D"/>
    <w:rsid w:val="004F04AA"/>
    <w:rsid w:val="004F050A"/>
    <w:rsid w:val="004F0561"/>
    <w:rsid w:val="004F058E"/>
    <w:rsid w:val="004F062B"/>
    <w:rsid w:val="004F07B5"/>
    <w:rsid w:val="004F07FF"/>
    <w:rsid w:val="004F0B63"/>
    <w:rsid w:val="004F0FA8"/>
    <w:rsid w:val="004F0FD3"/>
    <w:rsid w:val="004F10D2"/>
    <w:rsid w:val="004F1105"/>
    <w:rsid w:val="004F12B6"/>
    <w:rsid w:val="004F1355"/>
    <w:rsid w:val="004F1466"/>
    <w:rsid w:val="004F14D3"/>
    <w:rsid w:val="004F15EB"/>
    <w:rsid w:val="004F1636"/>
    <w:rsid w:val="004F173B"/>
    <w:rsid w:val="004F1826"/>
    <w:rsid w:val="004F18A6"/>
    <w:rsid w:val="004F19D4"/>
    <w:rsid w:val="004F1B3B"/>
    <w:rsid w:val="004F1B6E"/>
    <w:rsid w:val="004F1E40"/>
    <w:rsid w:val="004F1E8D"/>
    <w:rsid w:val="004F1F92"/>
    <w:rsid w:val="004F2136"/>
    <w:rsid w:val="004F22FF"/>
    <w:rsid w:val="004F248F"/>
    <w:rsid w:val="004F24B7"/>
    <w:rsid w:val="004F2656"/>
    <w:rsid w:val="004F29DD"/>
    <w:rsid w:val="004F29FA"/>
    <w:rsid w:val="004F2A34"/>
    <w:rsid w:val="004F2ACD"/>
    <w:rsid w:val="004F2C55"/>
    <w:rsid w:val="004F2CF5"/>
    <w:rsid w:val="004F2D6A"/>
    <w:rsid w:val="004F2EED"/>
    <w:rsid w:val="004F2F1F"/>
    <w:rsid w:val="004F2F2F"/>
    <w:rsid w:val="004F2FF8"/>
    <w:rsid w:val="004F32AA"/>
    <w:rsid w:val="004F32CE"/>
    <w:rsid w:val="004F3375"/>
    <w:rsid w:val="004F33BE"/>
    <w:rsid w:val="004F34BD"/>
    <w:rsid w:val="004F35E8"/>
    <w:rsid w:val="004F37D8"/>
    <w:rsid w:val="004F380A"/>
    <w:rsid w:val="004F38B5"/>
    <w:rsid w:val="004F3AE8"/>
    <w:rsid w:val="004F3B8F"/>
    <w:rsid w:val="004F3BCC"/>
    <w:rsid w:val="004F3BF1"/>
    <w:rsid w:val="004F3C46"/>
    <w:rsid w:val="004F3CC2"/>
    <w:rsid w:val="004F3D34"/>
    <w:rsid w:val="004F4014"/>
    <w:rsid w:val="004F4108"/>
    <w:rsid w:val="004F42E6"/>
    <w:rsid w:val="004F4450"/>
    <w:rsid w:val="004F4556"/>
    <w:rsid w:val="004F4845"/>
    <w:rsid w:val="004F48D7"/>
    <w:rsid w:val="004F4BB7"/>
    <w:rsid w:val="004F4BBF"/>
    <w:rsid w:val="004F4CC6"/>
    <w:rsid w:val="004F4F6F"/>
    <w:rsid w:val="004F514F"/>
    <w:rsid w:val="004F5214"/>
    <w:rsid w:val="004F5400"/>
    <w:rsid w:val="004F54A4"/>
    <w:rsid w:val="004F56E4"/>
    <w:rsid w:val="004F57D7"/>
    <w:rsid w:val="004F57DD"/>
    <w:rsid w:val="004F587E"/>
    <w:rsid w:val="004F5926"/>
    <w:rsid w:val="004F5960"/>
    <w:rsid w:val="004F59B3"/>
    <w:rsid w:val="004F5A98"/>
    <w:rsid w:val="004F5CA8"/>
    <w:rsid w:val="004F5D94"/>
    <w:rsid w:val="004F5F1F"/>
    <w:rsid w:val="004F5FFD"/>
    <w:rsid w:val="004F6131"/>
    <w:rsid w:val="004F6150"/>
    <w:rsid w:val="004F61C5"/>
    <w:rsid w:val="004F625C"/>
    <w:rsid w:val="004F6277"/>
    <w:rsid w:val="004F633C"/>
    <w:rsid w:val="004F64A6"/>
    <w:rsid w:val="004F6520"/>
    <w:rsid w:val="004F65FD"/>
    <w:rsid w:val="004F66EB"/>
    <w:rsid w:val="004F67E7"/>
    <w:rsid w:val="004F67EB"/>
    <w:rsid w:val="004F6844"/>
    <w:rsid w:val="004F691E"/>
    <w:rsid w:val="004F6993"/>
    <w:rsid w:val="004F6A83"/>
    <w:rsid w:val="004F6AA9"/>
    <w:rsid w:val="004F6D8B"/>
    <w:rsid w:val="004F6EC0"/>
    <w:rsid w:val="004F6F4E"/>
    <w:rsid w:val="004F7060"/>
    <w:rsid w:val="004F714F"/>
    <w:rsid w:val="004F7195"/>
    <w:rsid w:val="004F71AE"/>
    <w:rsid w:val="004F726D"/>
    <w:rsid w:val="004F728F"/>
    <w:rsid w:val="004F7417"/>
    <w:rsid w:val="004F758A"/>
    <w:rsid w:val="004F7674"/>
    <w:rsid w:val="004F76E7"/>
    <w:rsid w:val="004F781D"/>
    <w:rsid w:val="004F7864"/>
    <w:rsid w:val="004F78DF"/>
    <w:rsid w:val="004F7991"/>
    <w:rsid w:val="004F7A1E"/>
    <w:rsid w:val="004F7AFC"/>
    <w:rsid w:val="004F7BEB"/>
    <w:rsid w:val="004F7E8C"/>
    <w:rsid w:val="005001D2"/>
    <w:rsid w:val="00500473"/>
    <w:rsid w:val="005004E8"/>
    <w:rsid w:val="005005ED"/>
    <w:rsid w:val="00500655"/>
    <w:rsid w:val="005007CC"/>
    <w:rsid w:val="005009C3"/>
    <w:rsid w:val="00500A36"/>
    <w:rsid w:val="00500B01"/>
    <w:rsid w:val="00500BF0"/>
    <w:rsid w:val="00500CE5"/>
    <w:rsid w:val="00500F7C"/>
    <w:rsid w:val="00500F87"/>
    <w:rsid w:val="005010CE"/>
    <w:rsid w:val="005011CC"/>
    <w:rsid w:val="005011EC"/>
    <w:rsid w:val="00501407"/>
    <w:rsid w:val="005015D2"/>
    <w:rsid w:val="00501701"/>
    <w:rsid w:val="00501800"/>
    <w:rsid w:val="0050194C"/>
    <w:rsid w:val="00501B67"/>
    <w:rsid w:val="00501B7A"/>
    <w:rsid w:val="00501F21"/>
    <w:rsid w:val="00501F86"/>
    <w:rsid w:val="00502145"/>
    <w:rsid w:val="00502163"/>
    <w:rsid w:val="0050223E"/>
    <w:rsid w:val="005023C2"/>
    <w:rsid w:val="005023DE"/>
    <w:rsid w:val="00502462"/>
    <w:rsid w:val="00502505"/>
    <w:rsid w:val="005028F0"/>
    <w:rsid w:val="005028FE"/>
    <w:rsid w:val="005029DC"/>
    <w:rsid w:val="00502B2A"/>
    <w:rsid w:val="00502C10"/>
    <w:rsid w:val="00502C21"/>
    <w:rsid w:val="00502D21"/>
    <w:rsid w:val="00502D36"/>
    <w:rsid w:val="00502D48"/>
    <w:rsid w:val="00502E1D"/>
    <w:rsid w:val="00502E68"/>
    <w:rsid w:val="00502F0C"/>
    <w:rsid w:val="005030A2"/>
    <w:rsid w:val="00503154"/>
    <w:rsid w:val="005031C9"/>
    <w:rsid w:val="005031D4"/>
    <w:rsid w:val="00503219"/>
    <w:rsid w:val="00503267"/>
    <w:rsid w:val="0050329E"/>
    <w:rsid w:val="005033B5"/>
    <w:rsid w:val="00503410"/>
    <w:rsid w:val="0050350F"/>
    <w:rsid w:val="0050364D"/>
    <w:rsid w:val="0050388D"/>
    <w:rsid w:val="00503A03"/>
    <w:rsid w:val="00503A82"/>
    <w:rsid w:val="00503B8D"/>
    <w:rsid w:val="00503C6A"/>
    <w:rsid w:val="00503CFD"/>
    <w:rsid w:val="00503D21"/>
    <w:rsid w:val="00503F70"/>
    <w:rsid w:val="00503FE6"/>
    <w:rsid w:val="00504095"/>
    <w:rsid w:val="0050413A"/>
    <w:rsid w:val="0050419B"/>
    <w:rsid w:val="00504246"/>
    <w:rsid w:val="0050430B"/>
    <w:rsid w:val="00504323"/>
    <w:rsid w:val="00504359"/>
    <w:rsid w:val="00504593"/>
    <w:rsid w:val="00504719"/>
    <w:rsid w:val="00504853"/>
    <w:rsid w:val="0050498B"/>
    <w:rsid w:val="005049C6"/>
    <w:rsid w:val="00504A46"/>
    <w:rsid w:val="00504BB7"/>
    <w:rsid w:val="00504BDC"/>
    <w:rsid w:val="00504D2E"/>
    <w:rsid w:val="00504E55"/>
    <w:rsid w:val="00504E5F"/>
    <w:rsid w:val="005050DB"/>
    <w:rsid w:val="00505175"/>
    <w:rsid w:val="0050526A"/>
    <w:rsid w:val="00505732"/>
    <w:rsid w:val="0050592F"/>
    <w:rsid w:val="00505980"/>
    <w:rsid w:val="0050599F"/>
    <w:rsid w:val="005059F3"/>
    <w:rsid w:val="00505AE9"/>
    <w:rsid w:val="00505C1C"/>
    <w:rsid w:val="00505C29"/>
    <w:rsid w:val="00505D03"/>
    <w:rsid w:val="00505E78"/>
    <w:rsid w:val="00505F9A"/>
    <w:rsid w:val="00505FC4"/>
    <w:rsid w:val="005060D3"/>
    <w:rsid w:val="00506200"/>
    <w:rsid w:val="005062FF"/>
    <w:rsid w:val="0050631C"/>
    <w:rsid w:val="0050639B"/>
    <w:rsid w:val="00506461"/>
    <w:rsid w:val="005064AA"/>
    <w:rsid w:val="005066FD"/>
    <w:rsid w:val="00506808"/>
    <w:rsid w:val="00506883"/>
    <w:rsid w:val="00506991"/>
    <w:rsid w:val="00506C3E"/>
    <w:rsid w:val="00506DE9"/>
    <w:rsid w:val="00506E8D"/>
    <w:rsid w:val="00506EFF"/>
    <w:rsid w:val="0050702C"/>
    <w:rsid w:val="00507084"/>
    <w:rsid w:val="005071A7"/>
    <w:rsid w:val="005072AE"/>
    <w:rsid w:val="005072E0"/>
    <w:rsid w:val="00507338"/>
    <w:rsid w:val="00507360"/>
    <w:rsid w:val="005073A1"/>
    <w:rsid w:val="005073FD"/>
    <w:rsid w:val="0050752A"/>
    <w:rsid w:val="005075C1"/>
    <w:rsid w:val="005075ED"/>
    <w:rsid w:val="0050795D"/>
    <w:rsid w:val="00507C6F"/>
    <w:rsid w:val="00507DFE"/>
    <w:rsid w:val="00507E64"/>
    <w:rsid w:val="00507ECE"/>
    <w:rsid w:val="00507EDA"/>
    <w:rsid w:val="00507EFA"/>
    <w:rsid w:val="00507F73"/>
    <w:rsid w:val="00510069"/>
    <w:rsid w:val="005100B4"/>
    <w:rsid w:val="0051018C"/>
    <w:rsid w:val="005102D9"/>
    <w:rsid w:val="0051045E"/>
    <w:rsid w:val="00510668"/>
    <w:rsid w:val="0051069F"/>
    <w:rsid w:val="00510889"/>
    <w:rsid w:val="00510967"/>
    <w:rsid w:val="0051099F"/>
    <w:rsid w:val="00510C49"/>
    <w:rsid w:val="00510D0F"/>
    <w:rsid w:val="00510EE9"/>
    <w:rsid w:val="0051116F"/>
    <w:rsid w:val="0051138D"/>
    <w:rsid w:val="005113A8"/>
    <w:rsid w:val="005113DA"/>
    <w:rsid w:val="005114F2"/>
    <w:rsid w:val="00511570"/>
    <w:rsid w:val="00511627"/>
    <w:rsid w:val="00511659"/>
    <w:rsid w:val="005117A5"/>
    <w:rsid w:val="005117C8"/>
    <w:rsid w:val="005118F7"/>
    <w:rsid w:val="00511924"/>
    <w:rsid w:val="00511B5E"/>
    <w:rsid w:val="00511C3B"/>
    <w:rsid w:val="00511C64"/>
    <w:rsid w:val="00511C6E"/>
    <w:rsid w:val="00511E59"/>
    <w:rsid w:val="00512184"/>
    <w:rsid w:val="005121B0"/>
    <w:rsid w:val="00512269"/>
    <w:rsid w:val="005126FF"/>
    <w:rsid w:val="0051286A"/>
    <w:rsid w:val="005128E7"/>
    <w:rsid w:val="00512962"/>
    <w:rsid w:val="00512987"/>
    <w:rsid w:val="005129DC"/>
    <w:rsid w:val="00512AEF"/>
    <w:rsid w:val="00512B9A"/>
    <w:rsid w:val="00512C33"/>
    <w:rsid w:val="00512C9C"/>
    <w:rsid w:val="00512CAE"/>
    <w:rsid w:val="00512E17"/>
    <w:rsid w:val="00512F79"/>
    <w:rsid w:val="00512F85"/>
    <w:rsid w:val="00512FA3"/>
    <w:rsid w:val="005132AF"/>
    <w:rsid w:val="005132C4"/>
    <w:rsid w:val="00513347"/>
    <w:rsid w:val="00513473"/>
    <w:rsid w:val="005134DA"/>
    <w:rsid w:val="005134E7"/>
    <w:rsid w:val="005136BD"/>
    <w:rsid w:val="005137A5"/>
    <w:rsid w:val="00513A50"/>
    <w:rsid w:val="00513BA5"/>
    <w:rsid w:val="00513BEF"/>
    <w:rsid w:val="00513C3F"/>
    <w:rsid w:val="00513DE5"/>
    <w:rsid w:val="0051400C"/>
    <w:rsid w:val="00514016"/>
    <w:rsid w:val="0051412F"/>
    <w:rsid w:val="00514134"/>
    <w:rsid w:val="005142C5"/>
    <w:rsid w:val="005143EA"/>
    <w:rsid w:val="0051465D"/>
    <w:rsid w:val="0051474E"/>
    <w:rsid w:val="00514799"/>
    <w:rsid w:val="005147A8"/>
    <w:rsid w:val="0051488B"/>
    <w:rsid w:val="005149CB"/>
    <w:rsid w:val="00514A14"/>
    <w:rsid w:val="00514B33"/>
    <w:rsid w:val="00514CE5"/>
    <w:rsid w:val="00514D90"/>
    <w:rsid w:val="0051502C"/>
    <w:rsid w:val="0051512E"/>
    <w:rsid w:val="00515142"/>
    <w:rsid w:val="005153CD"/>
    <w:rsid w:val="005154B4"/>
    <w:rsid w:val="005157E4"/>
    <w:rsid w:val="0051584C"/>
    <w:rsid w:val="0051585E"/>
    <w:rsid w:val="00515948"/>
    <w:rsid w:val="00515B40"/>
    <w:rsid w:val="00515B9B"/>
    <w:rsid w:val="00515C2A"/>
    <w:rsid w:val="00515D9C"/>
    <w:rsid w:val="00515DBA"/>
    <w:rsid w:val="00515FE5"/>
    <w:rsid w:val="00516052"/>
    <w:rsid w:val="00516595"/>
    <w:rsid w:val="005165B4"/>
    <w:rsid w:val="00516602"/>
    <w:rsid w:val="00516668"/>
    <w:rsid w:val="005166DF"/>
    <w:rsid w:val="00516701"/>
    <w:rsid w:val="00516872"/>
    <w:rsid w:val="005168A9"/>
    <w:rsid w:val="00516944"/>
    <w:rsid w:val="00516A27"/>
    <w:rsid w:val="00516AC1"/>
    <w:rsid w:val="00516BEC"/>
    <w:rsid w:val="00516E10"/>
    <w:rsid w:val="00516E1D"/>
    <w:rsid w:val="00516FFE"/>
    <w:rsid w:val="00517104"/>
    <w:rsid w:val="005171D9"/>
    <w:rsid w:val="005174A7"/>
    <w:rsid w:val="005174D0"/>
    <w:rsid w:val="00517728"/>
    <w:rsid w:val="00517829"/>
    <w:rsid w:val="00517A35"/>
    <w:rsid w:val="00517E11"/>
    <w:rsid w:val="00517E1C"/>
    <w:rsid w:val="0052027D"/>
    <w:rsid w:val="0052036B"/>
    <w:rsid w:val="00520426"/>
    <w:rsid w:val="005204CC"/>
    <w:rsid w:val="005206A0"/>
    <w:rsid w:val="005206E6"/>
    <w:rsid w:val="00520838"/>
    <w:rsid w:val="005208EE"/>
    <w:rsid w:val="00520954"/>
    <w:rsid w:val="00520A5A"/>
    <w:rsid w:val="00520AEA"/>
    <w:rsid w:val="00520B28"/>
    <w:rsid w:val="00520C13"/>
    <w:rsid w:val="00520CDF"/>
    <w:rsid w:val="00520DB3"/>
    <w:rsid w:val="00520DB8"/>
    <w:rsid w:val="00520E2D"/>
    <w:rsid w:val="00520E66"/>
    <w:rsid w:val="00520EE6"/>
    <w:rsid w:val="00521093"/>
    <w:rsid w:val="005210E4"/>
    <w:rsid w:val="005211C5"/>
    <w:rsid w:val="00521268"/>
    <w:rsid w:val="00521386"/>
    <w:rsid w:val="00521438"/>
    <w:rsid w:val="0052147A"/>
    <w:rsid w:val="005217F3"/>
    <w:rsid w:val="0052186D"/>
    <w:rsid w:val="00521943"/>
    <w:rsid w:val="00521A31"/>
    <w:rsid w:val="00521A43"/>
    <w:rsid w:val="00521C72"/>
    <w:rsid w:val="00521D98"/>
    <w:rsid w:val="00521DB7"/>
    <w:rsid w:val="00521E09"/>
    <w:rsid w:val="00521EEE"/>
    <w:rsid w:val="0052201F"/>
    <w:rsid w:val="0052203D"/>
    <w:rsid w:val="005221C4"/>
    <w:rsid w:val="005222C7"/>
    <w:rsid w:val="005222DC"/>
    <w:rsid w:val="00522478"/>
    <w:rsid w:val="00522480"/>
    <w:rsid w:val="00522555"/>
    <w:rsid w:val="005227DB"/>
    <w:rsid w:val="00522892"/>
    <w:rsid w:val="005228B7"/>
    <w:rsid w:val="005229CB"/>
    <w:rsid w:val="00522A08"/>
    <w:rsid w:val="00522A36"/>
    <w:rsid w:val="00522DCD"/>
    <w:rsid w:val="00522EDE"/>
    <w:rsid w:val="00522FA6"/>
    <w:rsid w:val="005230EA"/>
    <w:rsid w:val="0052317F"/>
    <w:rsid w:val="005231BA"/>
    <w:rsid w:val="005232AC"/>
    <w:rsid w:val="005232EA"/>
    <w:rsid w:val="00523323"/>
    <w:rsid w:val="00523358"/>
    <w:rsid w:val="005234D5"/>
    <w:rsid w:val="005235DD"/>
    <w:rsid w:val="005235F5"/>
    <w:rsid w:val="0052360C"/>
    <w:rsid w:val="005237E9"/>
    <w:rsid w:val="00523833"/>
    <w:rsid w:val="00523839"/>
    <w:rsid w:val="00523846"/>
    <w:rsid w:val="0052397C"/>
    <w:rsid w:val="005239A8"/>
    <w:rsid w:val="00523A97"/>
    <w:rsid w:val="00523CCE"/>
    <w:rsid w:val="00523CDA"/>
    <w:rsid w:val="00523EFA"/>
    <w:rsid w:val="0052400E"/>
    <w:rsid w:val="0052405C"/>
    <w:rsid w:val="00524227"/>
    <w:rsid w:val="0052435C"/>
    <w:rsid w:val="00524447"/>
    <w:rsid w:val="0052459F"/>
    <w:rsid w:val="005245F1"/>
    <w:rsid w:val="00524683"/>
    <w:rsid w:val="0052472C"/>
    <w:rsid w:val="005247AB"/>
    <w:rsid w:val="00524905"/>
    <w:rsid w:val="00524993"/>
    <w:rsid w:val="00524A4E"/>
    <w:rsid w:val="00524B63"/>
    <w:rsid w:val="00524B70"/>
    <w:rsid w:val="00524BCE"/>
    <w:rsid w:val="005250D9"/>
    <w:rsid w:val="0052516F"/>
    <w:rsid w:val="00525198"/>
    <w:rsid w:val="0052528D"/>
    <w:rsid w:val="005252A7"/>
    <w:rsid w:val="005252D5"/>
    <w:rsid w:val="00525500"/>
    <w:rsid w:val="00525506"/>
    <w:rsid w:val="00525619"/>
    <w:rsid w:val="0052591E"/>
    <w:rsid w:val="00525A92"/>
    <w:rsid w:val="00525A9A"/>
    <w:rsid w:val="00525B5A"/>
    <w:rsid w:val="00525B5D"/>
    <w:rsid w:val="00525B9C"/>
    <w:rsid w:val="00525E40"/>
    <w:rsid w:val="00525E41"/>
    <w:rsid w:val="00525EFF"/>
    <w:rsid w:val="00526177"/>
    <w:rsid w:val="0052643B"/>
    <w:rsid w:val="005264C2"/>
    <w:rsid w:val="00526548"/>
    <w:rsid w:val="00526639"/>
    <w:rsid w:val="0052663F"/>
    <w:rsid w:val="00526668"/>
    <w:rsid w:val="005266A3"/>
    <w:rsid w:val="005266F3"/>
    <w:rsid w:val="00526768"/>
    <w:rsid w:val="00526803"/>
    <w:rsid w:val="005268ED"/>
    <w:rsid w:val="005269FE"/>
    <w:rsid w:val="00526AA6"/>
    <w:rsid w:val="00526AB2"/>
    <w:rsid w:val="00526B2C"/>
    <w:rsid w:val="00526F08"/>
    <w:rsid w:val="00526F13"/>
    <w:rsid w:val="0052707F"/>
    <w:rsid w:val="00527295"/>
    <w:rsid w:val="005273C9"/>
    <w:rsid w:val="0052746E"/>
    <w:rsid w:val="005275A5"/>
    <w:rsid w:val="005275B9"/>
    <w:rsid w:val="005277E1"/>
    <w:rsid w:val="00527928"/>
    <w:rsid w:val="005279BF"/>
    <w:rsid w:val="00527A17"/>
    <w:rsid w:val="00527AAE"/>
    <w:rsid w:val="00527AC3"/>
    <w:rsid w:val="00527AD7"/>
    <w:rsid w:val="00527B7B"/>
    <w:rsid w:val="00527BBC"/>
    <w:rsid w:val="00527C65"/>
    <w:rsid w:val="00527EF9"/>
    <w:rsid w:val="005300C9"/>
    <w:rsid w:val="0053036C"/>
    <w:rsid w:val="0053078D"/>
    <w:rsid w:val="005307CD"/>
    <w:rsid w:val="005307F2"/>
    <w:rsid w:val="0053087A"/>
    <w:rsid w:val="0053087F"/>
    <w:rsid w:val="005309CD"/>
    <w:rsid w:val="00530B0B"/>
    <w:rsid w:val="00530E39"/>
    <w:rsid w:val="0053105D"/>
    <w:rsid w:val="005310BE"/>
    <w:rsid w:val="005310CA"/>
    <w:rsid w:val="0053115A"/>
    <w:rsid w:val="00531198"/>
    <w:rsid w:val="005311E2"/>
    <w:rsid w:val="00531204"/>
    <w:rsid w:val="00531284"/>
    <w:rsid w:val="00531417"/>
    <w:rsid w:val="0053145F"/>
    <w:rsid w:val="005314F3"/>
    <w:rsid w:val="00531766"/>
    <w:rsid w:val="005317A4"/>
    <w:rsid w:val="00531832"/>
    <w:rsid w:val="00531A8C"/>
    <w:rsid w:val="00531C42"/>
    <w:rsid w:val="00531C45"/>
    <w:rsid w:val="00531C8E"/>
    <w:rsid w:val="00531CA7"/>
    <w:rsid w:val="00531D5C"/>
    <w:rsid w:val="00531F96"/>
    <w:rsid w:val="0053207B"/>
    <w:rsid w:val="005320D5"/>
    <w:rsid w:val="005321DF"/>
    <w:rsid w:val="0053233F"/>
    <w:rsid w:val="005323DC"/>
    <w:rsid w:val="00532457"/>
    <w:rsid w:val="0053274E"/>
    <w:rsid w:val="005327D2"/>
    <w:rsid w:val="005328C7"/>
    <w:rsid w:val="0053298D"/>
    <w:rsid w:val="00532A16"/>
    <w:rsid w:val="00532A27"/>
    <w:rsid w:val="00532A5C"/>
    <w:rsid w:val="00532BCE"/>
    <w:rsid w:val="00532D05"/>
    <w:rsid w:val="00532D4F"/>
    <w:rsid w:val="00532D92"/>
    <w:rsid w:val="00532F34"/>
    <w:rsid w:val="005330D2"/>
    <w:rsid w:val="005331BC"/>
    <w:rsid w:val="00533222"/>
    <w:rsid w:val="005332D9"/>
    <w:rsid w:val="005333AF"/>
    <w:rsid w:val="005335A8"/>
    <w:rsid w:val="0053369D"/>
    <w:rsid w:val="00533AE0"/>
    <w:rsid w:val="00533AFD"/>
    <w:rsid w:val="00533B39"/>
    <w:rsid w:val="00533B69"/>
    <w:rsid w:val="00533DD5"/>
    <w:rsid w:val="00534028"/>
    <w:rsid w:val="0053410B"/>
    <w:rsid w:val="0053431C"/>
    <w:rsid w:val="00534593"/>
    <w:rsid w:val="005348FC"/>
    <w:rsid w:val="00534987"/>
    <w:rsid w:val="00534A1D"/>
    <w:rsid w:val="00534AAA"/>
    <w:rsid w:val="00534B74"/>
    <w:rsid w:val="00534DCC"/>
    <w:rsid w:val="00534F50"/>
    <w:rsid w:val="005350C1"/>
    <w:rsid w:val="0053515E"/>
    <w:rsid w:val="0053517B"/>
    <w:rsid w:val="005352A5"/>
    <w:rsid w:val="005352E0"/>
    <w:rsid w:val="00535658"/>
    <w:rsid w:val="0053573D"/>
    <w:rsid w:val="005357AC"/>
    <w:rsid w:val="00535821"/>
    <w:rsid w:val="00535858"/>
    <w:rsid w:val="00535D02"/>
    <w:rsid w:val="00535D8A"/>
    <w:rsid w:val="00535E0B"/>
    <w:rsid w:val="00535E19"/>
    <w:rsid w:val="00535E1F"/>
    <w:rsid w:val="00535E94"/>
    <w:rsid w:val="0053622D"/>
    <w:rsid w:val="005362AE"/>
    <w:rsid w:val="0053632F"/>
    <w:rsid w:val="00536357"/>
    <w:rsid w:val="005363FC"/>
    <w:rsid w:val="00536627"/>
    <w:rsid w:val="00536661"/>
    <w:rsid w:val="00536714"/>
    <w:rsid w:val="00536732"/>
    <w:rsid w:val="0053691A"/>
    <w:rsid w:val="00536998"/>
    <w:rsid w:val="00536B54"/>
    <w:rsid w:val="00536C45"/>
    <w:rsid w:val="00536C59"/>
    <w:rsid w:val="00536E6D"/>
    <w:rsid w:val="00536FE4"/>
    <w:rsid w:val="00537088"/>
    <w:rsid w:val="00537113"/>
    <w:rsid w:val="005373C5"/>
    <w:rsid w:val="00537793"/>
    <w:rsid w:val="005378AB"/>
    <w:rsid w:val="0053795B"/>
    <w:rsid w:val="005379E1"/>
    <w:rsid w:val="00537A30"/>
    <w:rsid w:val="00537A65"/>
    <w:rsid w:val="00537A89"/>
    <w:rsid w:val="00537AD1"/>
    <w:rsid w:val="00537B1A"/>
    <w:rsid w:val="00537BF8"/>
    <w:rsid w:val="00537CB6"/>
    <w:rsid w:val="0054010F"/>
    <w:rsid w:val="0054054A"/>
    <w:rsid w:val="00540655"/>
    <w:rsid w:val="005407C6"/>
    <w:rsid w:val="00540B9B"/>
    <w:rsid w:val="00540C28"/>
    <w:rsid w:val="00540E1C"/>
    <w:rsid w:val="00540E47"/>
    <w:rsid w:val="00540F53"/>
    <w:rsid w:val="00540FC8"/>
    <w:rsid w:val="00541105"/>
    <w:rsid w:val="005411D9"/>
    <w:rsid w:val="00541532"/>
    <w:rsid w:val="00541573"/>
    <w:rsid w:val="0054164B"/>
    <w:rsid w:val="00541864"/>
    <w:rsid w:val="0054193D"/>
    <w:rsid w:val="00541BBB"/>
    <w:rsid w:val="00541D43"/>
    <w:rsid w:val="00541D93"/>
    <w:rsid w:val="005420CC"/>
    <w:rsid w:val="005420EB"/>
    <w:rsid w:val="00542163"/>
    <w:rsid w:val="005421CE"/>
    <w:rsid w:val="00542222"/>
    <w:rsid w:val="0054229B"/>
    <w:rsid w:val="00542350"/>
    <w:rsid w:val="0054241F"/>
    <w:rsid w:val="0054263B"/>
    <w:rsid w:val="00542777"/>
    <w:rsid w:val="00542A4B"/>
    <w:rsid w:val="00542A95"/>
    <w:rsid w:val="00542AED"/>
    <w:rsid w:val="00542C00"/>
    <w:rsid w:val="00542C2D"/>
    <w:rsid w:val="00542CDE"/>
    <w:rsid w:val="00542E4B"/>
    <w:rsid w:val="00542F34"/>
    <w:rsid w:val="0054312D"/>
    <w:rsid w:val="00543178"/>
    <w:rsid w:val="00543224"/>
    <w:rsid w:val="0054342D"/>
    <w:rsid w:val="005437E8"/>
    <w:rsid w:val="00543946"/>
    <w:rsid w:val="005439BD"/>
    <w:rsid w:val="00543BE5"/>
    <w:rsid w:val="00543C31"/>
    <w:rsid w:val="00543EEF"/>
    <w:rsid w:val="00543F62"/>
    <w:rsid w:val="00543FFF"/>
    <w:rsid w:val="00544011"/>
    <w:rsid w:val="00544014"/>
    <w:rsid w:val="00544317"/>
    <w:rsid w:val="005443B4"/>
    <w:rsid w:val="005445A1"/>
    <w:rsid w:val="0054460F"/>
    <w:rsid w:val="005446F6"/>
    <w:rsid w:val="005448E1"/>
    <w:rsid w:val="00544995"/>
    <w:rsid w:val="00544A6E"/>
    <w:rsid w:val="00544ABB"/>
    <w:rsid w:val="00544BD7"/>
    <w:rsid w:val="00544CB4"/>
    <w:rsid w:val="00544D33"/>
    <w:rsid w:val="00544E25"/>
    <w:rsid w:val="00544EBA"/>
    <w:rsid w:val="00544F69"/>
    <w:rsid w:val="00544F6D"/>
    <w:rsid w:val="0054506D"/>
    <w:rsid w:val="005450CB"/>
    <w:rsid w:val="00545295"/>
    <w:rsid w:val="005453B4"/>
    <w:rsid w:val="0054550E"/>
    <w:rsid w:val="0054551A"/>
    <w:rsid w:val="00545582"/>
    <w:rsid w:val="00545625"/>
    <w:rsid w:val="005457A3"/>
    <w:rsid w:val="0054588F"/>
    <w:rsid w:val="00545993"/>
    <w:rsid w:val="00545A02"/>
    <w:rsid w:val="00545A13"/>
    <w:rsid w:val="00545A73"/>
    <w:rsid w:val="00545B01"/>
    <w:rsid w:val="00545C3F"/>
    <w:rsid w:val="00545C84"/>
    <w:rsid w:val="00545CDA"/>
    <w:rsid w:val="00545D02"/>
    <w:rsid w:val="00545DDA"/>
    <w:rsid w:val="00545E7A"/>
    <w:rsid w:val="00545E8E"/>
    <w:rsid w:val="00545EF3"/>
    <w:rsid w:val="00545EFB"/>
    <w:rsid w:val="00545F9A"/>
    <w:rsid w:val="00546317"/>
    <w:rsid w:val="00546343"/>
    <w:rsid w:val="005463FF"/>
    <w:rsid w:val="00546492"/>
    <w:rsid w:val="005466BA"/>
    <w:rsid w:val="005466DF"/>
    <w:rsid w:val="0054672F"/>
    <w:rsid w:val="0054685A"/>
    <w:rsid w:val="005468A2"/>
    <w:rsid w:val="005468B1"/>
    <w:rsid w:val="00546939"/>
    <w:rsid w:val="005469AD"/>
    <w:rsid w:val="005469FB"/>
    <w:rsid w:val="00546A34"/>
    <w:rsid w:val="00546B00"/>
    <w:rsid w:val="00546BE7"/>
    <w:rsid w:val="00546D2A"/>
    <w:rsid w:val="00546DAE"/>
    <w:rsid w:val="00546DB2"/>
    <w:rsid w:val="005470B5"/>
    <w:rsid w:val="005471D9"/>
    <w:rsid w:val="00547329"/>
    <w:rsid w:val="00547331"/>
    <w:rsid w:val="005474F8"/>
    <w:rsid w:val="005475CE"/>
    <w:rsid w:val="00547674"/>
    <w:rsid w:val="00547745"/>
    <w:rsid w:val="0054776C"/>
    <w:rsid w:val="0054781B"/>
    <w:rsid w:val="00547856"/>
    <w:rsid w:val="0054790D"/>
    <w:rsid w:val="00547A7A"/>
    <w:rsid w:val="00547B26"/>
    <w:rsid w:val="00547C90"/>
    <w:rsid w:val="00547CE5"/>
    <w:rsid w:val="00547E6D"/>
    <w:rsid w:val="0055000B"/>
    <w:rsid w:val="0055025E"/>
    <w:rsid w:val="005502FF"/>
    <w:rsid w:val="00550325"/>
    <w:rsid w:val="00550345"/>
    <w:rsid w:val="00550358"/>
    <w:rsid w:val="005505CF"/>
    <w:rsid w:val="00550685"/>
    <w:rsid w:val="005506A9"/>
    <w:rsid w:val="005506C5"/>
    <w:rsid w:val="0055079B"/>
    <w:rsid w:val="005509A4"/>
    <w:rsid w:val="00550A6B"/>
    <w:rsid w:val="00550B9E"/>
    <w:rsid w:val="00550C6F"/>
    <w:rsid w:val="00550EAE"/>
    <w:rsid w:val="00550F3D"/>
    <w:rsid w:val="00550F50"/>
    <w:rsid w:val="00550F9B"/>
    <w:rsid w:val="00550FB2"/>
    <w:rsid w:val="00551093"/>
    <w:rsid w:val="005511E7"/>
    <w:rsid w:val="00551325"/>
    <w:rsid w:val="00551498"/>
    <w:rsid w:val="005514C6"/>
    <w:rsid w:val="00551544"/>
    <w:rsid w:val="00551611"/>
    <w:rsid w:val="00551797"/>
    <w:rsid w:val="005517CC"/>
    <w:rsid w:val="0055183E"/>
    <w:rsid w:val="005519C4"/>
    <w:rsid w:val="00551A1D"/>
    <w:rsid w:val="00551C31"/>
    <w:rsid w:val="00551D03"/>
    <w:rsid w:val="00551D05"/>
    <w:rsid w:val="00551D27"/>
    <w:rsid w:val="00551DAD"/>
    <w:rsid w:val="0055203D"/>
    <w:rsid w:val="005522BF"/>
    <w:rsid w:val="005524BF"/>
    <w:rsid w:val="0055272A"/>
    <w:rsid w:val="0055277E"/>
    <w:rsid w:val="00552A0F"/>
    <w:rsid w:val="00552ACF"/>
    <w:rsid w:val="00552F2C"/>
    <w:rsid w:val="0055303B"/>
    <w:rsid w:val="005531AC"/>
    <w:rsid w:val="005531E8"/>
    <w:rsid w:val="005532A0"/>
    <w:rsid w:val="005533FB"/>
    <w:rsid w:val="005534DB"/>
    <w:rsid w:val="0055351C"/>
    <w:rsid w:val="0055354D"/>
    <w:rsid w:val="005535D6"/>
    <w:rsid w:val="0055366D"/>
    <w:rsid w:val="00553738"/>
    <w:rsid w:val="005537C7"/>
    <w:rsid w:val="00553AB0"/>
    <w:rsid w:val="00553AC0"/>
    <w:rsid w:val="00553F21"/>
    <w:rsid w:val="00553F2F"/>
    <w:rsid w:val="00553FEE"/>
    <w:rsid w:val="005540C5"/>
    <w:rsid w:val="00554173"/>
    <w:rsid w:val="00554259"/>
    <w:rsid w:val="005542A1"/>
    <w:rsid w:val="005542AE"/>
    <w:rsid w:val="00554424"/>
    <w:rsid w:val="00554490"/>
    <w:rsid w:val="005545C2"/>
    <w:rsid w:val="005549C5"/>
    <w:rsid w:val="00554D0E"/>
    <w:rsid w:val="00554E4B"/>
    <w:rsid w:val="00554E8E"/>
    <w:rsid w:val="0055511A"/>
    <w:rsid w:val="005551B5"/>
    <w:rsid w:val="00555232"/>
    <w:rsid w:val="005554DE"/>
    <w:rsid w:val="005554E0"/>
    <w:rsid w:val="00555636"/>
    <w:rsid w:val="005556CA"/>
    <w:rsid w:val="00555763"/>
    <w:rsid w:val="0055586D"/>
    <w:rsid w:val="00555873"/>
    <w:rsid w:val="005558E1"/>
    <w:rsid w:val="00555AB4"/>
    <w:rsid w:val="00555B9A"/>
    <w:rsid w:val="00555C1C"/>
    <w:rsid w:val="00555C4D"/>
    <w:rsid w:val="00555D17"/>
    <w:rsid w:val="00555D8F"/>
    <w:rsid w:val="00555E32"/>
    <w:rsid w:val="00555F47"/>
    <w:rsid w:val="00555FA0"/>
    <w:rsid w:val="0055603A"/>
    <w:rsid w:val="00556116"/>
    <w:rsid w:val="00556156"/>
    <w:rsid w:val="005561EC"/>
    <w:rsid w:val="00556246"/>
    <w:rsid w:val="0055630D"/>
    <w:rsid w:val="005563F5"/>
    <w:rsid w:val="0055642F"/>
    <w:rsid w:val="005564FA"/>
    <w:rsid w:val="00556530"/>
    <w:rsid w:val="005566F1"/>
    <w:rsid w:val="0055673E"/>
    <w:rsid w:val="005567FC"/>
    <w:rsid w:val="00556827"/>
    <w:rsid w:val="0055686A"/>
    <w:rsid w:val="00556955"/>
    <w:rsid w:val="005569D2"/>
    <w:rsid w:val="00556A1F"/>
    <w:rsid w:val="00556A27"/>
    <w:rsid w:val="00556B8A"/>
    <w:rsid w:val="00556C8D"/>
    <w:rsid w:val="00556E21"/>
    <w:rsid w:val="00556FBC"/>
    <w:rsid w:val="0055702B"/>
    <w:rsid w:val="005572B2"/>
    <w:rsid w:val="005572E8"/>
    <w:rsid w:val="005573B4"/>
    <w:rsid w:val="0055754B"/>
    <w:rsid w:val="00557962"/>
    <w:rsid w:val="005579F0"/>
    <w:rsid w:val="00557B5E"/>
    <w:rsid w:val="00557D83"/>
    <w:rsid w:val="00557DF0"/>
    <w:rsid w:val="00557F12"/>
    <w:rsid w:val="0056002B"/>
    <w:rsid w:val="005601B1"/>
    <w:rsid w:val="0056022F"/>
    <w:rsid w:val="005604E5"/>
    <w:rsid w:val="005604EE"/>
    <w:rsid w:val="00560512"/>
    <w:rsid w:val="00560656"/>
    <w:rsid w:val="0056075B"/>
    <w:rsid w:val="0056085D"/>
    <w:rsid w:val="00560A44"/>
    <w:rsid w:val="00560B6B"/>
    <w:rsid w:val="00560C18"/>
    <w:rsid w:val="00560C69"/>
    <w:rsid w:val="00560CEE"/>
    <w:rsid w:val="00560E3A"/>
    <w:rsid w:val="00560F31"/>
    <w:rsid w:val="00561095"/>
    <w:rsid w:val="005611A8"/>
    <w:rsid w:val="00561379"/>
    <w:rsid w:val="00561822"/>
    <w:rsid w:val="00561A2B"/>
    <w:rsid w:val="00561A30"/>
    <w:rsid w:val="00561B36"/>
    <w:rsid w:val="00561B83"/>
    <w:rsid w:val="00561B9F"/>
    <w:rsid w:val="00561C56"/>
    <w:rsid w:val="00561F53"/>
    <w:rsid w:val="00562081"/>
    <w:rsid w:val="00562208"/>
    <w:rsid w:val="0056220A"/>
    <w:rsid w:val="005622E1"/>
    <w:rsid w:val="00562355"/>
    <w:rsid w:val="005623DC"/>
    <w:rsid w:val="005624BD"/>
    <w:rsid w:val="005625CD"/>
    <w:rsid w:val="00562624"/>
    <w:rsid w:val="00562658"/>
    <w:rsid w:val="005626DF"/>
    <w:rsid w:val="00562706"/>
    <w:rsid w:val="00562870"/>
    <w:rsid w:val="005628E1"/>
    <w:rsid w:val="0056295C"/>
    <w:rsid w:val="00562976"/>
    <w:rsid w:val="00562C01"/>
    <w:rsid w:val="00562CD6"/>
    <w:rsid w:val="00562D4D"/>
    <w:rsid w:val="005630B7"/>
    <w:rsid w:val="0056311F"/>
    <w:rsid w:val="00563277"/>
    <w:rsid w:val="00563464"/>
    <w:rsid w:val="0056348F"/>
    <w:rsid w:val="0056367B"/>
    <w:rsid w:val="00563704"/>
    <w:rsid w:val="00563811"/>
    <w:rsid w:val="005638B1"/>
    <w:rsid w:val="00563AFD"/>
    <w:rsid w:val="00563C08"/>
    <w:rsid w:val="00563E66"/>
    <w:rsid w:val="00564281"/>
    <w:rsid w:val="0056449C"/>
    <w:rsid w:val="005649BB"/>
    <w:rsid w:val="005649DD"/>
    <w:rsid w:val="00564B55"/>
    <w:rsid w:val="00564C7B"/>
    <w:rsid w:val="00564E0A"/>
    <w:rsid w:val="00564E82"/>
    <w:rsid w:val="00564F20"/>
    <w:rsid w:val="00565292"/>
    <w:rsid w:val="0056529C"/>
    <w:rsid w:val="005652A9"/>
    <w:rsid w:val="00565453"/>
    <w:rsid w:val="0056567A"/>
    <w:rsid w:val="005656AA"/>
    <w:rsid w:val="005656B5"/>
    <w:rsid w:val="00565757"/>
    <w:rsid w:val="005658BC"/>
    <w:rsid w:val="005658EE"/>
    <w:rsid w:val="005658FF"/>
    <w:rsid w:val="005659AD"/>
    <w:rsid w:val="005659AF"/>
    <w:rsid w:val="00565B81"/>
    <w:rsid w:val="00565DAB"/>
    <w:rsid w:val="00566012"/>
    <w:rsid w:val="005661E7"/>
    <w:rsid w:val="00566392"/>
    <w:rsid w:val="005665CB"/>
    <w:rsid w:val="0056682B"/>
    <w:rsid w:val="005668FF"/>
    <w:rsid w:val="005669AA"/>
    <w:rsid w:val="005669AE"/>
    <w:rsid w:val="00566A0B"/>
    <w:rsid w:val="00566A30"/>
    <w:rsid w:val="00566AC7"/>
    <w:rsid w:val="00566B00"/>
    <w:rsid w:val="00566C56"/>
    <w:rsid w:val="00566C62"/>
    <w:rsid w:val="00566E85"/>
    <w:rsid w:val="0056702E"/>
    <w:rsid w:val="0056707D"/>
    <w:rsid w:val="005670BE"/>
    <w:rsid w:val="005670F0"/>
    <w:rsid w:val="0056719E"/>
    <w:rsid w:val="005672AE"/>
    <w:rsid w:val="005673A5"/>
    <w:rsid w:val="00567510"/>
    <w:rsid w:val="0056778F"/>
    <w:rsid w:val="005677F8"/>
    <w:rsid w:val="00567A11"/>
    <w:rsid w:val="00567B82"/>
    <w:rsid w:val="00567E90"/>
    <w:rsid w:val="00567ED1"/>
    <w:rsid w:val="00570029"/>
    <w:rsid w:val="0057021B"/>
    <w:rsid w:val="005702AB"/>
    <w:rsid w:val="005702C0"/>
    <w:rsid w:val="005702EF"/>
    <w:rsid w:val="00570307"/>
    <w:rsid w:val="005703C6"/>
    <w:rsid w:val="0057040E"/>
    <w:rsid w:val="00570882"/>
    <w:rsid w:val="005708A1"/>
    <w:rsid w:val="0057091D"/>
    <w:rsid w:val="0057095A"/>
    <w:rsid w:val="005709F8"/>
    <w:rsid w:val="00570A56"/>
    <w:rsid w:val="00570BFC"/>
    <w:rsid w:val="00570C16"/>
    <w:rsid w:val="00570C36"/>
    <w:rsid w:val="00570E2C"/>
    <w:rsid w:val="00570E8F"/>
    <w:rsid w:val="00570F39"/>
    <w:rsid w:val="00571170"/>
    <w:rsid w:val="0057124B"/>
    <w:rsid w:val="005712F2"/>
    <w:rsid w:val="00571475"/>
    <w:rsid w:val="00571595"/>
    <w:rsid w:val="005715A2"/>
    <w:rsid w:val="00571614"/>
    <w:rsid w:val="0057182C"/>
    <w:rsid w:val="005719F6"/>
    <w:rsid w:val="00571B90"/>
    <w:rsid w:val="00571B9E"/>
    <w:rsid w:val="00571BE3"/>
    <w:rsid w:val="00571EF5"/>
    <w:rsid w:val="00571F62"/>
    <w:rsid w:val="005721A2"/>
    <w:rsid w:val="0057227E"/>
    <w:rsid w:val="00572298"/>
    <w:rsid w:val="005722EF"/>
    <w:rsid w:val="00572371"/>
    <w:rsid w:val="00572562"/>
    <w:rsid w:val="005725A2"/>
    <w:rsid w:val="00572612"/>
    <w:rsid w:val="00572652"/>
    <w:rsid w:val="00572736"/>
    <w:rsid w:val="005728C0"/>
    <w:rsid w:val="00572A0B"/>
    <w:rsid w:val="00572AFD"/>
    <w:rsid w:val="00572B22"/>
    <w:rsid w:val="00572BAB"/>
    <w:rsid w:val="00572CEB"/>
    <w:rsid w:val="0057313A"/>
    <w:rsid w:val="0057323E"/>
    <w:rsid w:val="005732F2"/>
    <w:rsid w:val="00573323"/>
    <w:rsid w:val="00573518"/>
    <w:rsid w:val="00573660"/>
    <w:rsid w:val="00573881"/>
    <w:rsid w:val="0057392F"/>
    <w:rsid w:val="0057395E"/>
    <w:rsid w:val="00573C13"/>
    <w:rsid w:val="00573C2F"/>
    <w:rsid w:val="00573ECE"/>
    <w:rsid w:val="00573F3E"/>
    <w:rsid w:val="00574048"/>
    <w:rsid w:val="00574134"/>
    <w:rsid w:val="00574156"/>
    <w:rsid w:val="0057419D"/>
    <w:rsid w:val="00574476"/>
    <w:rsid w:val="00574624"/>
    <w:rsid w:val="005747A5"/>
    <w:rsid w:val="005747CD"/>
    <w:rsid w:val="0057493D"/>
    <w:rsid w:val="0057497A"/>
    <w:rsid w:val="00574A80"/>
    <w:rsid w:val="00574C88"/>
    <w:rsid w:val="00574CA9"/>
    <w:rsid w:val="00574CCF"/>
    <w:rsid w:val="00574CE6"/>
    <w:rsid w:val="00574E66"/>
    <w:rsid w:val="00574EC4"/>
    <w:rsid w:val="00574FC8"/>
    <w:rsid w:val="00575118"/>
    <w:rsid w:val="0057511D"/>
    <w:rsid w:val="005751A5"/>
    <w:rsid w:val="0057535B"/>
    <w:rsid w:val="00575409"/>
    <w:rsid w:val="00575490"/>
    <w:rsid w:val="005754F4"/>
    <w:rsid w:val="005755AD"/>
    <w:rsid w:val="005757B9"/>
    <w:rsid w:val="00575902"/>
    <w:rsid w:val="00575981"/>
    <w:rsid w:val="00575A68"/>
    <w:rsid w:val="00575B9A"/>
    <w:rsid w:val="00575CA4"/>
    <w:rsid w:val="00575DC4"/>
    <w:rsid w:val="00575DFD"/>
    <w:rsid w:val="00575FB9"/>
    <w:rsid w:val="00576011"/>
    <w:rsid w:val="0057602D"/>
    <w:rsid w:val="00576105"/>
    <w:rsid w:val="0057610E"/>
    <w:rsid w:val="0057612C"/>
    <w:rsid w:val="00576160"/>
    <w:rsid w:val="0057627D"/>
    <w:rsid w:val="005763FD"/>
    <w:rsid w:val="00576509"/>
    <w:rsid w:val="00576528"/>
    <w:rsid w:val="00576540"/>
    <w:rsid w:val="0057660F"/>
    <w:rsid w:val="00576647"/>
    <w:rsid w:val="005767CB"/>
    <w:rsid w:val="00576A35"/>
    <w:rsid w:val="00576B13"/>
    <w:rsid w:val="00576DFC"/>
    <w:rsid w:val="00576F0D"/>
    <w:rsid w:val="0057705F"/>
    <w:rsid w:val="00577097"/>
    <w:rsid w:val="0057721F"/>
    <w:rsid w:val="0057726E"/>
    <w:rsid w:val="0057728B"/>
    <w:rsid w:val="005776BD"/>
    <w:rsid w:val="0057793B"/>
    <w:rsid w:val="005779EA"/>
    <w:rsid w:val="00577AFA"/>
    <w:rsid w:val="00577B5D"/>
    <w:rsid w:val="00577DB6"/>
    <w:rsid w:val="00580036"/>
    <w:rsid w:val="005800BF"/>
    <w:rsid w:val="00580160"/>
    <w:rsid w:val="00580161"/>
    <w:rsid w:val="005801B0"/>
    <w:rsid w:val="005801F6"/>
    <w:rsid w:val="00580259"/>
    <w:rsid w:val="00580284"/>
    <w:rsid w:val="00580409"/>
    <w:rsid w:val="005805CC"/>
    <w:rsid w:val="005805F1"/>
    <w:rsid w:val="0058076D"/>
    <w:rsid w:val="00580863"/>
    <w:rsid w:val="005809D6"/>
    <w:rsid w:val="005809DF"/>
    <w:rsid w:val="00580BCD"/>
    <w:rsid w:val="00580C9F"/>
    <w:rsid w:val="00580F21"/>
    <w:rsid w:val="0058132C"/>
    <w:rsid w:val="0058152A"/>
    <w:rsid w:val="00581931"/>
    <w:rsid w:val="00581A3E"/>
    <w:rsid w:val="00581AD3"/>
    <w:rsid w:val="00581AE9"/>
    <w:rsid w:val="00581CF1"/>
    <w:rsid w:val="00581D2D"/>
    <w:rsid w:val="00581D3B"/>
    <w:rsid w:val="00581D82"/>
    <w:rsid w:val="00581DFB"/>
    <w:rsid w:val="00581E12"/>
    <w:rsid w:val="00581E7D"/>
    <w:rsid w:val="00581F81"/>
    <w:rsid w:val="00581FFA"/>
    <w:rsid w:val="00582151"/>
    <w:rsid w:val="0058224E"/>
    <w:rsid w:val="00582261"/>
    <w:rsid w:val="005822C3"/>
    <w:rsid w:val="005823AC"/>
    <w:rsid w:val="00582527"/>
    <w:rsid w:val="0058254B"/>
    <w:rsid w:val="00582663"/>
    <w:rsid w:val="00582859"/>
    <w:rsid w:val="00582885"/>
    <w:rsid w:val="005828E4"/>
    <w:rsid w:val="005829A5"/>
    <w:rsid w:val="00582A69"/>
    <w:rsid w:val="00582B85"/>
    <w:rsid w:val="00582BCE"/>
    <w:rsid w:val="00582C8B"/>
    <w:rsid w:val="00582D19"/>
    <w:rsid w:val="00582D37"/>
    <w:rsid w:val="00582DC4"/>
    <w:rsid w:val="00582E3B"/>
    <w:rsid w:val="00582F61"/>
    <w:rsid w:val="00583251"/>
    <w:rsid w:val="005832A0"/>
    <w:rsid w:val="005834F3"/>
    <w:rsid w:val="00583590"/>
    <w:rsid w:val="0058361B"/>
    <w:rsid w:val="00583840"/>
    <w:rsid w:val="005838AA"/>
    <w:rsid w:val="00583DAD"/>
    <w:rsid w:val="00583E13"/>
    <w:rsid w:val="00583E3F"/>
    <w:rsid w:val="00583E5B"/>
    <w:rsid w:val="00583EAA"/>
    <w:rsid w:val="0058400E"/>
    <w:rsid w:val="0058404A"/>
    <w:rsid w:val="005840AE"/>
    <w:rsid w:val="005840CC"/>
    <w:rsid w:val="00584286"/>
    <w:rsid w:val="00584303"/>
    <w:rsid w:val="005843C0"/>
    <w:rsid w:val="005843E7"/>
    <w:rsid w:val="00584481"/>
    <w:rsid w:val="0058449C"/>
    <w:rsid w:val="005844D8"/>
    <w:rsid w:val="005846EF"/>
    <w:rsid w:val="0058480B"/>
    <w:rsid w:val="00584C8D"/>
    <w:rsid w:val="00584CC3"/>
    <w:rsid w:val="00584DAB"/>
    <w:rsid w:val="00584F07"/>
    <w:rsid w:val="005850E4"/>
    <w:rsid w:val="0058514C"/>
    <w:rsid w:val="0058535A"/>
    <w:rsid w:val="005854DF"/>
    <w:rsid w:val="0058554F"/>
    <w:rsid w:val="00585571"/>
    <w:rsid w:val="0058560D"/>
    <w:rsid w:val="00585791"/>
    <w:rsid w:val="0058581F"/>
    <w:rsid w:val="0058593B"/>
    <w:rsid w:val="00585961"/>
    <w:rsid w:val="00585B82"/>
    <w:rsid w:val="00585CC8"/>
    <w:rsid w:val="00585DFF"/>
    <w:rsid w:val="005861BF"/>
    <w:rsid w:val="0058632F"/>
    <w:rsid w:val="005863D5"/>
    <w:rsid w:val="0058642E"/>
    <w:rsid w:val="00586447"/>
    <w:rsid w:val="0058645B"/>
    <w:rsid w:val="00586465"/>
    <w:rsid w:val="00586631"/>
    <w:rsid w:val="005866BD"/>
    <w:rsid w:val="00586C37"/>
    <w:rsid w:val="00586C70"/>
    <w:rsid w:val="00586D6C"/>
    <w:rsid w:val="00586D86"/>
    <w:rsid w:val="00586DDF"/>
    <w:rsid w:val="00586DE1"/>
    <w:rsid w:val="00586F2B"/>
    <w:rsid w:val="005871FC"/>
    <w:rsid w:val="0058729B"/>
    <w:rsid w:val="005872A2"/>
    <w:rsid w:val="00587387"/>
    <w:rsid w:val="005874FF"/>
    <w:rsid w:val="0058799F"/>
    <w:rsid w:val="00587A79"/>
    <w:rsid w:val="00587B48"/>
    <w:rsid w:val="00587C8F"/>
    <w:rsid w:val="00587D00"/>
    <w:rsid w:val="00587D63"/>
    <w:rsid w:val="005900AB"/>
    <w:rsid w:val="005900C8"/>
    <w:rsid w:val="00590194"/>
    <w:rsid w:val="00590204"/>
    <w:rsid w:val="0059041D"/>
    <w:rsid w:val="00590461"/>
    <w:rsid w:val="00590508"/>
    <w:rsid w:val="0059052A"/>
    <w:rsid w:val="005905BE"/>
    <w:rsid w:val="00590736"/>
    <w:rsid w:val="0059085D"/>
    <w:rsid w:val="005908D8"/>
    <w:rsid w:val="005909AA"/>
    <w:rsid w:val="00590A03"/>
    <w:rsid w:val="00590A3E"/>
    <w:rsid w:val="00590A73"/>
    <w:rsid w:val="00590B37"/>
    <w:rsid w:val="00590C61"/>
    <w:rsid w:val="00590CF2"/>
    <w:rsid w:val="00590DBA"/>
    <w:rsid w:val="0059104F"/>
    <w:rsid w:val="005910BD"/>
    <w:rsid w:val="00591234"/>
    <w:rsid w:val="00591320"/>
    <w:rsid w:val="00591394"/>
    <w:rsid w:val="005913BD"/>
    <w:rsid w:val="005913D4"/>
    <w:rsid w:val="005915B3"/>
    <w:rsid w:val="00591609"/>
    <w:rsid w:val="00591661"/>
    <w:rsid w:val="0059179E"/>
    <w:rsid w:val="005917C7"/>
    <w:rsid w:val="00591884"/>
    <w:rsid w:val="00591EF9"/>
    <w:rsid w:val="00591F73"/>
    <w:rsid w:val="00591FE1"/>
    <w:rsid w:val="00592089"/>
    <w:rsid w:val="00592215"/>
    <w:rsid w:val="0059231C"/>
    <w:rsid w:val="00592482"/>
    <w:rsid w:val="005927CC"/>
    <w:rsid w:val="0059297C"/>
    <w:rsid w:val="005929FD"/>
    <w:rsid w:val="00592AA7"/>
    <w:rsid w:val="00592DA6"/>
    <w:rsid w:val="00592EF9"/>
    <w:rsid w:val="00592F2E"/>
    <w:rsid w:val="0059305F"/>
    <w:rsid w:val="00593098"/>
    <w:rsid w:val="005930F1"/>
    <w:rsid w:val="005931F0"/>
    <w:rsid w:val="005931F9"/>
    <w:rsid w:val="005933F7"/>
    <w:rsid w:val="0059344F"/>
    <w:rsid w:val="005934AE"/>
    <w:rsid w:val="00593628"/>
    <w:rsid w:val="00593722"/>
    <w:rsid w:val="005937E9"/>
    <w:rsid w:val="00593945"/>
    <w:rsid w:val="005939E6"/>
    <w:rsid w:val="00593A8F"/>
    <w:rsid w:val="00593ACA"/>
    <w:rsid w:val="00593C11"/>
    <w:rsid w:val="00593C27"/>
    <w:rsid w:val="00593C28"/>
    <w:rsid w:val="00593D98"/>
    <w:rsid w:val="00594010"/>
    <w:rsid w:val="0059402D"/>
    <w:rsid w:val="0059404D"/>
    <w:rsid w:val="005941A6"/>
    <w:rsid w:val="0059438E"/>
    <w:rsid w:val="005944F0"/>
    <w:rsid w:val="00594546"/>
    <w:rsid w:val="00594899"/>
    <w:rsid w:val="005948D2"/>
    <w:rsid w:val="005948D8"/>
    <w:rsid w:val="00594906"/>
    <w:rsid w:val="00594C43"/>
    <w:rsid w:val="00594DC7"/>
    <w:rsid w:val="00594E13"/>
    <w:rsid w:val="00594E2E"/>
    <w:rsid w:val="00595099"/>
    <w:rsid w:val="00595494"/>
    <w:rsid w:val="00595663"/>
    <w:rsid w:val="005956D6"/>
    <w:rsid w:val="00595796"/>
    <w:rsid w:val="00595BFA"/>
    <w:rsid w:val="00595C0B"/>
    <w:rsid w:val="00595D56"/>
    <w:rsid w:val="00595DC6"/>
    <w:rsid w:val="00595E4A"/>
    <w:rsid w:val="00595F40"/>
    <w:rsid w:val="00596015"/>
    <w:rsid w:val="0059613D"/>
    <w:rsid w:val="00596256"/>
    <w:rsid w:val="005962E2"/>
    <w:rsid w:val="005965D8"/>
    <w:rsid w:val="005966BF"/>
    <w:rsid w:val="005967B0"/>
    <w:rsid w:val="00596AAA"/>
    <w:rsid w:val="00596C96"/>
    <w:rsid w:val="00596CF8"/>
    <w:rsid w:val="00596DE0"/>
    <w:rsid w:val="00596E35"/>
    <w:rsid w:val="00596EF1"/>
    <w:rsid w:val="00596F02"/>
    <w:rsid w:val="005970EC"/>
    <w:rsid w:val="0059727F"/>
    <w:rsid w:val="00597295"/>
    <w:rsid w:val="0059733D"/>
    <w:rsid w:val="005976D1"/>
    <w:rsid w:val="005976DA"/>
    <w:rsid w:val="005976F2"/>
    <w:rsid w:val="0059772A"/>
    <w:rsid w:val="00597845"/>
    <w:rsid w:val="00597884"/>
    <w:rsid w:val="00597976"/>
    <w:rsid w:val="005979D7"/>
    <w:rsid w:val="00597A47"/>
    <w:rsid w:val="00597AC4"/>
    <w:rsid w:val="00597B63"/>
    <w:rsid w:val="00597CAB"/>
    <w:rsid w:val="00597D46"/>
    <w:rsid w:val="00597E15"/>
    <w:rsid w:val="005A012A"/>
    <w:rsid w:val="005A0188"/>
    <w:rsid w:val="005A019B"/>
    <w:rsid w:val="005A01B9"/>
    <w:rsid w:val="005A02AF"/>
    <w:rsid w:val="005A0612"/>
    <w:rsid w:val="005A0613"/>
    <w:rsid w:val="005A067C"/>
    <w:rsid w:val="005A0686"/>
    <w:rsid w:val="005A068B"/>
    <w:rsid w:val="005A0696"/>
    <w:rsid w:val="005A06FD"/>
    <w:rsid w:val="005A07FF"/>
    <w:rsid w:val="005A0829"/>
    <w:rsid w:val="005A0858"/>
    <w:rsid w:val="005A08BD"/>
    <w:rsid w:val="005A0ABB"/>
    <w:rsid w:val="005A0C0B"/>
    <w:rsid w:val="005A0D3B"/>
    <w:rsid w:val="005A0FBA"/>
    <w:rsid w:val="005A1170"/>
    <w:rsid w:val="005A11C0"/>
    <w:rsid w:val="005A130B"/>
    <w:rsid w:val="005A13A2"/>
    <w:rsid w:val="005A1754"/>
    <w:rsid w:val="005A1801"/>
    <w:rsid w:val="005A184D"/>
    <w:rsid w:val="005A18AA"/>
    <w:rsid w:val="005A1B2E"/>
    <w:rsid w:val="005A1D66"/>
    <w:rsid w:val="005A1DD0"/>
    <w:rsid w:val="005A1EF4"/>
    <w:rsid w:val="005A1F38"/>
    <w:rsid w:val="005A22FC"/>
    <w:rsid w:val="005A23F3"/>
    <w:rsid w:val="005A2429"/>
    <w:rsid w:val="005A2693"/>
    <w:rsid w:val="005A2717"/>
    <w:rsid w:val="005A27E7"/>
    <w:rsid w:val="005A287C"/>
    <w:rsid w:val="005A2916"/>
    <w:rsid w:val="005A2B2E"/>
    <w:rsid w:val="005A2E07"/>
    <w:rsid w:val="005A3214"/>
    <w:rsid w:val="005A3319"/>
    <w:rsid w:val="005A33D5"/>
    <w:rsid w:val="005A345B"/>
    <w:rsid w:val="005A34EF"/>
    <w:rsid w:val="005A36A7"/>
    <w:rsid w:val="005A37B5"/>
    <w:rsid w:val="005A3928"/>
    <w:rsid w:val="005A393F"/>
    <w:rsid w:val="005A3A95"/>
    <w:rsid w:val="005A3B49"/>
    <w:rsid w:val="005A3C37"/>
    <w:rsid w:val="005A3C9E"/>
    <w:rsid w:val="005A3CAD"/>
    <w:rsid w:val="005A3DA8"/>
    <w:rsid w:val="005A3DB6"/>
    <w:rsid w:val="005A3EBB"/>
    <w:rsid w:val="005A3EC1"/>
    <w:rsid w:val="005A3F4B"/>
    <w:rsid w:val="005A3F55"/>
    <w:rsid w:val="005A3F67"/>
    <w:rsid w:val="005A407C"/>
    <w:rsid w:val="005A40BF"/>
    <w:rsid w:val="005A41F6"/>
    <w:rsid w:val="005A4216"/>
    <w:rsid w:val="005A427E"/>
    <w:rsid w:val="005A45CE"/>
    <w:rsid w:val="005A4778"/>
    <w:rsid w:val="005A47DB"/>
    <w:rsid w:val="005A4837"/>
    <w:rsid w:val="005A4DCE"/>
    <w:rsid w:val="005A4F5E"/>
    <w:rsid w:val="005A5070"/>
    <w:rsid w:val="005A51A0"/>
    <w:rsid w:val="005A5251"/>
    <w:rsid w:val="005A5429"/>
    <w:rsid w:val="005A56F7"/>
    <w:rsid w:val="005A58B2"/>
    <w:rsid w:val="005A5A86"/>
    <w:rsid w:val="005A5BE3"/>
    <w:rsid w:val="005A5BEF"/>
    <w:rsid w:val="005A5C42"/>
    <w:rsid w:val="005A5E02"/>
    <w:rsid w:val="005A5E94"/>
    <w:rsid w:val="005A5EFF"/>
    <w:rsid w:val="005A5F8A"/>
    <w:rsid w:val="005A5FD4"/>
    <w:rsid w:val="005A60E0"/>
    <w:rsid w:val="005A6356"/>
    <w:rsid w:val="005A63D2"/>
    <w:rsid w:val="005A6469"/>
    <w:rsid w:val="005A64D9"/>
    <w:rsid w:val="005A6533"/>
    <w:rsid w:val="005A65A0"/>
    <w:rsid w:val="005A6763"/>
    <w:rsid w:val="005A69A5"/>
    <w:rsid w:val="005A6BB3"/>
    <w:rsid w:val="005A6D7E"/>
    <w:rsid w:val="005A6DC5"/>
    <w:rsid w:val="005A6DDA"/>
    <w:rsid w:val="005A6E0A"/>
    <w:rsid w:val="005A6FD1"/>
    <w:rsid w:val="005A716E"/>
    <w:rsid w:val="005A7285"/>
    <w:rsid w:val="005A72E3"/>
    <w:rsid w:val="005A7377"/>
    <w:rsid w:val="005A737B"/>
    <w:rsid w:val="005A73DC"/>
    <w:rsid w:val="005A744F"/>
    <w:rsid w:val="005A75D1"/>
    <w:rsid w:val="005A75F9"/>
    <w:rsid w:val="005A7725"/>
    <w:rsid w:val="005A77A1"/>
    <w:rsid w:val="005A77DE"/>
    <w:rsid w:val="005A77F4"/>
    <w:rsid w:val="005A7895"/>
    <w:rsid w:val="005A7B0E"/>
    <w:rsid w:val="005A7BB1"/>
    <w:rsid w:val="005A7BFA"/>
    <w:rsid w:val="005A7C88"/>
    <w:rsid w:val="005A7E86"/>
    <w:rsid w:val="005A7E8F"/>
    <w:rsid w:val="005A7EE0"/>
    <w:rsid w:val="005B0184"/>
    <w:rsid w:val="005B05F1"/>
    <w:rsid w:val="005B0A0A"/>
    <w:rsid w:val="005B0A7B"/>
    <w:rsid w:val="005B0AAF"/>
    <w:rsid w:val="005B0B3A"/>
    <w:rsid w:val="005B0CF7"/>
    <w:rsid w:val="005B112E"/>
    <w:rsid w:val="005B1131"/>
    <w:rsid w:val="005B11A4"/>
    <w:rsid w:val="005B11FC"/>
    <w:rsid w:val="005B167A"/>
    <w:rsid w:val="005B17BC"/>
    <w:rsid w:val="005B186F"/>
    <w:rsid w:val="005B18D2"/>
    <w:rsid w:val="005B1934"/>
    <w:rsid w:val="005B196F"/>
    <w:rsid w:val="005B1A0C"/>
    <w:rsid w:val="005B1AAC"/>
    <w:rsid w:val="005B1C14"/>
    <w:rsid w:val="005B1C81"/>
    <w:rsid w:val="005B1D26"/>
    <w:rsid w:val="005B1D2F"/>
    <w:rsid w:val="005B1DD0"/>
    <w:rsid w:val="005B1E0B"/>
    <w:rsid w:val="005B224F"/>
    <w:rsid w:val="005B24AD"/>
    <w:rsid w:val="005B24B8"/>
    <w:rsid w:val="005B24EA"/>
    <w:rsid w:val="005B26D1"/>
    <w:rsid w:val="005B2860"/>
    <w:rsid w:val="005B2958"/>
    <w:rsid w:val="005B2B38"/>
    <w:rsid w:val="005B2B5D"/>
    <w:rsid w:val="005B2BD4"/>
    <w:rsid w:val="005B2C09"/>
    <w:rsid w:val="005B2C4D"/>
    <w:rsid w:val="005B2C51"/>
    <w:rsid w:val="005B2CCD"/>
    <w:rsid w:val="005B2F62"/>
    <w:rsid w:val="005B2FAF"/>
    <w:rsid w:val="005B31E2"/>
    <w:rsid w:val="005B3333"/>
    <w:rsid w:val="005B33B3"/>
    <w:rsid w:val="005B33C1"/>
    <w:rsid w:val="005B34F8"/>
    <w:rsid w:val="005B35B3"/>
    <w:rsid w:val="005B35F2"/>
    <w:rsid w:val="005B374F"/>
    <w:rsid w:val="005B39AB"/>
    <w:rsid w:val="005B3BA2"/>
    <w:rsid w:val="005B3C2A"/>
    <w:rsid w:val="005B3F89"/>
    <w:rsid w:val="005B42DC"/>
    <w:rsid w:val="005B4333"/>
    <w:rsid w:val="005B464C"/>
    <w:rsid w:val="005B46DD"/>
    <w:rsid w:val="005B4828"/>
    <w:rsid w:val="005B4866"/>
    <w:rsid w:val="005B48E3"/>
    <w:rsid w:val="005B4957"/>
    <w:rsid w:val="005B4A83"/>
    <w:rsid w:val="005B4B0E"/>
    <w:rsid w:val="005B4B3D"/>
    <w:rsid w:val="005B4BBD"/>
    <w:rsid w:val="005B4C97"/>
    <w:rsid w:val="005B4CDD"/>
    <w:rsid w:val="005B4E2B"/>
    <w:rsid w:val="005B4F8C"/>
    <w:rsid w:val="005B517E"/>
    <w:rsid w:val="005B5230"/>
    <w:rsid w:val="005B5264"/>
    <w:rsid w:val="005B52D8"/>
    <w:rsid w:val="005B53B7"/>
    <w:rsid w:val="005B558A"/>
    <w:rsid w:val="005B5755"/>
    <w:rsid w:val="005B57E2"/>
    <w:rsid w:val="005B582D"/>
    <w:rsid w:val="005B5AE4"/>
    <w:rsid w:val="005B5BED"/>
    <w:rsid w:val="005B5C4B"/>
    <w:rsid w:val="005B6268"/>
    <w:rsid w:val="005B6407"/>
    <w:rsid w:val="005B646B"/>
    <w:rsid w:val="005B664A"/>
    <w:rsid w:val="005B676B"/>
    <w:rsid w:val="005B6812"/>
    <w:rsid w:val="005B6941"/>
    <w:rsid w:val="005B6969"/>
    <w:rsid w:val="005B6BCB"/>
    <w:rsid w:val="005B6CB7"/>
    <w:rsid w:val="005B6D5D"/>
    <w:rsid w:val="005B6FE8"/>
    <w:rsid w:val="005B6FF2"/>
    <w:rsid w:val="005B6FFB"/>
    <w:rsid w:val="005B7118"/>
    <w:rsid w:val="005B730A"/>
    <w:rsid w:val="005B740D"/>
    <w:rsid w:val="005B768D"/>
    <w:rsid w:val="005B770F"/>
    <w:rsid w:val="005B7718"/>
    <w:rsid w:val="005B77EB"/>
    <w:rsid w:val="005B785C"/>
    <w:rsid w:val="005B7947"/>
    <w:rsid w:val="005B7B0F"/>
    <w:rsid w:val="005B7D3A"/>
    <w:rsid w:val="005B7DB2"/>
    <w:rsid w:val="005B7F51"/>
    <w:rsid w:val="005C0113"/>
    <w:rsid w:val="005C015F"/>
    <w:rsid w:val="005C0275"/>
    <w:rsid w:val="005C02B3"/>
    <w:rsid w:val="005C050F"/>
    <w:rsid w:val="005C07B2"/>
    <w:rsid w:val="005C0CAC"/>
    <w:rsid w:val="005C0D5A"/>
    <w:rsid w:val="005C0EB6"/>
    <w:rsid w:val="005C0FBE"/>
    <w:rsid w:val="005C1076"/>
    <w:rsid w:val="005C11DA"/>
    <w:rsid w:val="005C125D"/>
    <w:rsid w:val="005C12DF"/>
    <w:rsid w:val="005C1455"/>
    <w:rsid w:val="005C147B"/>
    <w:rsid w:val="005C14D6"/>
    <w:rsid w:val="005C1587"/>
    <w:rsid w:val="005C1858"/>
    <w:rsid w:val="005C18AA"/>
    <w:rsid w:val="005C19C5"/>
    <w:rsid w:val="005C1A08"/>
    <w:rsid w:val="005C1A41"/>
    <w:rsid w:val="005C1B5E"/>
    <w:rsid w:val="005C1CE6"/>
    <w:rsid w:val="005C1D68"/>
    <w:rsid w:val="005C1DF2"/>
    <w:rsid w:val="005C1F7B"/>
    <w:rsid w:val="005C1FFE"/>
    <w:rsid w:val="005C209C"/>
    <w:rsid w:val="005C21DB"/>
    <w:rsid w:val="005C2473"/>
    <w:rsid w:val="005C2477"/>
    <w:rsid w:val="005C2663"/>
    <w:rsid w:val="005C273A"/>
    <w:rsid w:val="005C27B3"/>
    <w:rsid w:val="005C2809"/>
    <w:rsid w:val="005C2825"/>
    <w:rsid w:val="005C29AC"/>
    <w:rsid w:val="005C29CD"/>
    <w:rsid w:val="005C2CE7"/>
    <w:rsid w:val="005C2D21"/>
    <w:rsid w:val="005C2D5D"/>
    <w:rsid w:val="005C2D96"/>
    <w:rsid w:val="005C2D9B"/>
    <w:rsid w:val="005C2DD1"/>
    <w:rsid w:val="005C2E26"/>
    <w:rsid w:val="005C2E85"/>
    <w:rsid w:val="005C2EE0"/>
    <w:rsid w:val="005C2F3D"/>
    <w:rsid w:val="005C2FD5"/>
    <w:rsid w:val="005C3228"/>
    <w:rsid w:val="005C34AD"/>
    <w:rsid w:val="005C3612"/>
    <w:rsid w:val="005C375C"/>
    <w:rsid w:val="005C396F"/>
    <w:rsid w:val="005C3AA5"/>
    <w:rsid w:val="005C3B38"/>
    <w:rsid w:val="005C3D45"/>
    <w:rsid w:val="005C3DDB"/>
    <w:rsid w:val="005C3E59"/>
    <w:rsid w:val="005C3EB3"/>
    <w:rsid w:val="005C3F58"/>
    <w:rsid w:val="005C422D"/>
    <w:rsid w:val="005C42DE"/>
    <w:rsid w:val="005C430B"/>
    <w:rsid w:val="005C436F"/>
    <w:rsid w:val="005C4398"/>
    <w:rsid w:val="005C43AA"/>
    <w:rsid w:val="005C43EF"/>
    <w:rsid w:val="005C4455"/>
    <w:rsid w:val="005C463E"/>
    <w:rsid w:val="005C47D0"/>
    <w:rsid w:val="005C47F6"/>
    <w:rsid w:val="005C4814"/>
    <w:rsid w:val="005C489F"/>
    <w:rsid w:val="005C4A82"/>
    <w:rsid w:val="005C4CB3"/>
    <w:rsid w:val="005C4EA9"/>
    <w:rsid w:val="005C4F04"/>
    <w:rsid w:val="005C4F10"/>
    <w:rsid w:val="005C4FB9"/>
    <w:rsid w:val="005C4FFD"/>
    <w:rsid w:val="005C50BA"/>
    <w:rsid w:val="005C50E8"/>
    <w:rsid w:val="005C51C5"/>
    <w:rsid w:val="005C522A"/>
    <w:rsid w:val="005C5379"/>
    <w:rsid w:val="005C5409"/>
    <w:rsid w:val="005C5459"/>
    <w:rsid w:val="005C54A4"/>
    <w:rsid w:val="005C569D"/>
    <w:rsid w:val="005C56F1"/>
    <w:rsid w:val="005C59D6"/>
    <w:rsid w:val="005C5A55"/>
    <w:rsid w:val="005C5A84"/>
    <w:rsid w:val="005C5BA8"/>
    <w:rsid w:val="005C5BDA"/>
    <w:rsid w:val="005C5C8E"/>
    <w:rsid w:val="005C5F8A"/>
    <w:rsid w:val="005C5FAC"/>
    <w:rsid w:val="005C5FFB"/>
    <w:rsid w:val="005C60B9"/>
    <w:rsid w:val="005C623C"/>
    <w:rsid w:val="005C6271"/>
    <w:rsid w:val="005C637A"/>
    <w:rsid w:val="005C6388"/>
    <w:rsid w:val="005C63C9"/>
    <w:rsid w:val="005C653C"/>
    <w:rsid w:val="005C6560"/>
    <w:rsid w:val="005C659E"/>
    <w:rsid w:val="005C65A8"/>
    <w:rsid w:val="005C65C1"/>
    <w:rsid w:val="005C65C9"/>
    <w:rsid w:val="005C6659"/>
    <w:rsid w:val="005C677F"/>
    <w:rsid w:val="005C6978"/>
    <w:rsid w:val="005C69E5"/>
    <w:rsid w:val="005C6A10"/>
    <w:rsid w:val="005C6B45"/>
    <w:rsid w:val="005C6F5F"/>
    <w:rsid w:val="005C726C"/>
    <w:rsid w:val="005C72BF"/>
    <w:rsid w:val="005C7364"/>
    <w:rsid w:val="005C73E1"/>
    <w:rsid w:val="005C73F2"/>
    <w:rsid w:val="005C7460"/>
    <w:rsid w:val="005C7462"/>
    <w:rsid w:val="005C7478"/>
    <w:rsid w:val="005C7564"/>
    <w:rsid w:val="005C75E3"/>
    <w:rsid w:val="005C76F1"/>
    <w:rsid w:val="005C7766"/>
    <w:rsid w:val="005C77CE"/>
    <w:rsid w:val="005C780A"/>
    <w:rsid w:val="005C784E"/>
    <w:rsid w:val="005C7911"/>
    <w:rsid w:val="005C795E"/>
    <w:rsid w:val="005C7C94"/>
    <w:rsid w:val="005C7D32"/>
    <w:rsid w:val="005C7D33"/>
    <w:rsid w:val="005C7D51"/>
    <w:rsid w:val="005C7D94"/>
    <w:rsid w:val="005C7EA0"/>
    <w:rsid w:val="005D01AB"/>
    <w:rsid w:val="005D01E4"/>
    <w:rsid w:val="005D0252"/>
    <w:rsid w:val="005D0339"/>
    <w:rsid w:val="005D0362"/>
    <w:rsid w:val="005D041C"/>
    <w:rsid w:val="005D044F"/>
    <w:rsid w:val="005D046A"/>
    <w:rsid w:val="005D073E"/>
    <w:rsid w:val="005D080A"/>
    <w:rsid w:val="005D0810"/>
    <w:rsid w:val="005D0B2F"/>
    <w:rsid w:val="005D0CB4"/>
    <w:rsid w:val="005D0E93"/>
    <w:rsid w:val="005D0EC0"/>
    <w:rsid w:val="005D10E6"/>
    <w:rsid w:val="005D1154"/>
    <w:rsid w:val="005D11BD"/>
    <w:rsid w:val="005D1211"/>
    <w:rsid w:val="005D1311"/>
    <w:rsid w:val="005D1339"/>
    <w:rsid w:val="005D1340"/>
    <w:rsid w:val="005D137D"/>
    <w:rsid w:val="005D1478"/>
    <w:rsid w:val="005D1581"/>
    <w:rsid w:val="005D15EE"/>
    <w:rsid w:val="005D1789"/>
    <w:rsid w:val="005D1824"/>
    <w:rsid w:val="005D194E"/>
    <w:rsid w:val="005D1A6E"/>
    <w:rsid w:val="005D1C57"/>
    <w:rsid w:val="005D1C5E"/>
    <w:rsid w:val="005D1C7C"/>
    <w:rsid w:val="005D1FEC"/>
    <w:rsid w:val="005D2006"/>
    <w:rsid w:val="005D219F"/>
    <w:rsid w:val="005D222D"/>
    <w:rsid w:val="005D223E"/>
    <w:rsid w:val="005D238F"/>
    <w:rsid w:val="005D23CA"/>
    <w:rsid w:val="005D240D"/>
    <w:rsid w:val="005D24E5"/>
    <w:rsid w:val="005D257D"/>
    <w:rsid w:val="005D266C"/>
    <w:rsid w:val="005D2752"/>
    <w:rsid w:val="005D289F"/>
    <w:rsid w:val="005D2ADF"/>
    <w:rsid w:val="005D2BFC"/>
    <w:rsid w:val="005D2DAA"/>
    <w:rsid w:val="005D2DEC"/>
    <w:rsid w:val="005D2DF8"/>
    <w:rsid w:val="005D2E04"/>
    <w:rsid w:val="005D2E1F"/>
    <w:rsid w:val="005D2EA0"/>
    <w:rsid w:val="005D302D"/>
    <w:rsid w:val="005D3107"/>
    <w:rsid w:val="005D317C"/>
    <w:rsid w:val="005D3241"/>
    <w:rsid w:val="005D3383"/>
    <w:rsid w:val="005D33C0"/>
    <w:rsid w:val="005D35FC"/>
    <w:rsid w:val="005D366C"/>
    <w:rsid w:val="005D36B3"/>
    <w:rsid w:val="005D38A7"/>
    <w:rsid w:val="005D38C0"/>
    <w:rsid w:val="005D3A2E"/>
    <w:rsid w:val="005D3A3B"/>
    <w:rsid w:val="005D3AF7"/>
    <w:rsid w:val="005D3C16"/>
    <w:rsid w:val="005D3CD0"/>
    <w:rsid w:val="005D3F72"/>
    <w:rsid w:val="005D3FD5"/>
    <w:rsid w:val="005D3FE3"/>
    <w:rsid w:val="005D4035"/>
    <w:rsid w:val="005D411A"/>
    <w:rsid w:val="005D47C3"/>
    <w:rsid w:val="005D490E"/>
    <w:rsid w:val="005D49B6"/>
    <w:rsid w:val="005D4A58"/>
    <w:rsid w:val="005D4B73"/>
    <w:rsid w:val="005D4CE3"/>
    <w:rsid w:val="005D4F63"/>
    <w:rsid w:val="005D50F5"/>
    <w:rsid w:val="005D520E"/>
    <w:rsid w:val="005D521D"/>
    <w:rsid w:val="005D5347"/>
    <w:rsid w:val="005D534B"/>
    <w:rsid w:val="005D538B"/>
    <w:rsid w:val="005D54AD"/>
    <w:rsid w:val="005D54E7"/>
    <w:rsid w:val="005D5825"/>
    <w:rsid w:val="005D58B7"/>
    <w:rsid w:val="005D5902"/>
    <w:rsid w:val="005D5A80"/>
    <w:rsid w:val="005D5B38"/>
    <w:rsid w:val="005D5BD4"/>
    <w:rsid w:val="005D5C72"/>
    <w:rsid w:val="005D5CCD"/>
    <w:rsid w:val="005D5FC9"/>
    <w:rsid w:val="005D608A"/>
    <w:rsid w:val="005D6090"/>
    <w:rsid w:val="005D60AE"/>
    <w:rsid w:val="005D615E"/>
    <w:rsid w:val="005D62C2"/>
    <w:rsid w:val="005D6341"/>
    <w:rsid w:val="005D63D5"/>
    <w:rsid w:val="005D63EF"/>
    <w:rsid w:val="005D64B6"/>
    <w:rsid w:val="005D67EC"/>
    <w:rsid w:val="005D6829"/>
    <w:rsid w:val="005D68B8"/>
    <w:rsid w:val="005D6A5F"/>
    <w:rsid w:val="005D6B18"/>
    <w:rsid w:val="005D6D04"/>
    <w:rsid w:val="005D6D2C"/>
    <w:rsid w:val="005D6D8E"/>
    <w:rsid w:val="005D6E79"/>
    <w:rsid w:val="005D6F10"/>
    <w:rsid w:val="005D70D3"/>
    <w:rsid w:val="005D7262"/>
    <w:rsid w:val="005D7402"/>
    <w:rsid w:val="005D7482"/>
    <w:rsid w:val="005D7499"/>
    <w:rsid w:val="005D74E6"/>
    <w:rsid w:val="005D74ED"/>
    <w:rsid w:val="005D765E"/>
    <w:rsid w:val="005D76E6"/>
    <w:rsid w:val="005D76EE"/>
    <w:rsid w:val="005D7882"/>
    <w:rsid w:val="005D78C2"/>
    <w:rsid w:val="005D78C7"/>
    <w:rsid w:val="005D7939"/>
    <w:rsid w:val="005D7950"/>
    <w:rsid w:val="005D79F3"/>
    <w:rsid w:val="005D7A8A"/>
    <w:rsid w:val="005D7A9F"/>
    <w:rsid w:val="005D7B11"/>
    <w:rsid w:val="005D7B58"/>
    <w:rsid w:val="005D7F39"/>
    <w:rsid w:val="005D7F6A"/>
    <w:rsid w:val="005D7FA4"/>
    <w:rsid w:val="005E0119"/>
    <w:rsid w:val="005E03E2"/>
    <w:rsid w:val="005E0486"/>
    <w:rsid w:val="005E04B0"/>
    <w:rsid w:val="005E04EF"/>
    <w:rsid w:val="005E053E"/>
    <w:rsid w:val="005E068A"/>
    <w:rsid w:val="005E08A4"/>
    <w:rsid w:val="005E08F3"/>
    <w:rsid w:val="005E0B2D"/>
    <w:rsid w:val="005E0B30"/>
    <w:rsid w:val="005E0D01"/>
    <w:rsid w:val="005E0DFC"/>
    <w:rsid w:val="005E0E32"/>
    <w:rsid w:val="005E0F63"/>
    <w:rsid w:val="005E1271"/>
    <w:rsid w:val="005E12B9"/>
    <w:rsid w:val="005E1358"/>
    <w:rsid w:val="005E1381"/>
    <w:rsid w:val="005E1470"/>
    <w:rsid w:val="005E158E"/>
    <w:rsid w:val="005E161A"/>
    <w:rsid w:val="005E166A"/>
    <w:rsid w:val="005E17D7"/>
    <w:rsid w:val="005E1831"/>
    <w:rsid w:val="005E18E4"/>
    <w:rsid w:val="005E1A84"/>
    <w:rsid w:val="005E1A95"/>
    <w:rsid w:val="005E1AC8"/>
    <w:rsid w:val="005E1B1D"/>
    <w:rsid w:val="005E1BC7"/>
    <w:rsid w:val="005E1CA4"/>
    <w:rsid w:val="005E1D15"/>
    <w:rsid w:val="005E214D"/>
    <w:rsid w:val="005E219C"/>
    <w:rsid w:val="005E2418"/>
    <w:rsid w:val="005E24C6"/>
    <w:rsid w:val="005E24CE"/>
    <w:rsid w:val="005E256C"/>
    <w:rsid w:val="005E2848"/>
    <w:rsid w:val="005E287B"/>
    <w:rsid w:val="005E2909"/>
    <w:rsid w:val="005E296C"/>
    <w:rsid w:val="005E2B1A"/>
    <w:rsid w:val="005E2B1B"/>
    <w:rsid w:val="005E2B26"/>
    <w:rsid w:val="005E2BE0"/>
    <w:rsid w:val="005E2C00"/>
    <w:rsid w:val="005E2D47"/>
    <w:rsid w:val="005E2DB6"/>
    <w:rsid w:val="005E2E83"/>
    <w:rsid w:val="005E2F0D"/>
    <w:rsid w:val="005E3119"/>
    <w:rsid w:val="005E3216"/>
    <w:rsid w:val="005E3223"/>
    <w:rsid w:val="005E3305"/>
    <w:rsid w:val="005E3540"/>
    <w:rsid w:val="005E37AC"/>
    <w:rsid w:val="005E3812"/>
    <w:rsid w:val="005E395E"/>
    <w:rsid w:val="005E39CE"/>
    <w:rsid w:val="005E3A2C"/>
    <w:rsid w:val="005E3AC2"/>
    <w:rsid w:val="005E3B15"/>
    <w:rsid w:val="005E3D08"/>
    <w:rsid w:val="005E3D63"/>
    <w:rsid w:val="005E3E43"/>
    <w:rsid w:val="005E3E7C"/>
    <w:rsid w:val="005E3FE9"/>
    <w:rsid w:val="005E400D"/>
    <w:rsid w:val="005E427E"/>
    <w:rsid w:val="005E4388"/>
    <w:rsid w:val="005E43F7"/>
    <w:rsid w:val="005E4503"/>
    <w:rsid w:val="005E4734"/>
    <w:rsid w:val="005E4768"/>
    <w:rsid w:val="005E487F"/>
    <w:rsid w:val="005E4AD3"/>
    <w:rsid w:val="005E4E0B"/>
    <w:rsid w:val="005E501B"/>
    <w:rsid w:val="005E52F4"/>
    <w:rsid w:val="005E5303"/>
    <w:rsid w:val="005E53C7"/>
    <w:rsid w:val="005E54ED"/>
    <w:rsid w:val="005E560C"/>
    <w:rsid w:val="005E56EA"/>
    <w:rsid w:val="005E5785"/>
    <w:rsid w:val="005E5A3E"/>
    <w:rsid w:val="005E5C0C"/>
    <w:rsid w:val="005E5C20"/>
    <w:rsid w:val="005E5D03"/>
    <w:rsid w:val="005E5D3D"/>
    <w:rsid w:val="005E5E58"/>
    <w:rsid w:val="005E5FB0"/>
    <w:rsid w:val="005E61CF"/>
    <w:rsid w:val="005E63EA"/>
    <w:rsid w:val="005E6484"/>
    <w:rsid w:val="005E6487"/>
    <w:rsid w:val="005E64FD"/>
    <w:rsid w:val="005E66B7"/>
    <w:rsid w:val="005E671A"/>
    <w:rsid w:val="005E672A"/>
    <w:rsid w:val="005E67DE"/>
    <w:rsid w:val="005E6A62"/>
    <w:rsid w:val="005E6B41"/>
    <w:rsid w:val="005E6C0A"/>
    <w:rsid w:val="005E6EFF"/>
    <w:rsid w:val="005E71DE"/>
    <w:rsid w:val="005E7378"/>
    <w:rsid w:val="005E7415"/>
    <w:rsid w:val="005E7446"/>
    <w:rsid w:val="005E7753"/>
    <w:rsid w:val="005E7884"/>
    <w:rsid w:val="005E78A4"/>
    <w:rsid w:val="005E790B"/>
    <w:rsid w:val="005E796E"/>
    <w:rsid w:val="005E79E2"/>
    <w:rsid w:val="005E7A10"/>
    <w:rsid w:val="005E7A59"/>
    <w:rsid w:val="005E7B8F"/>
    <w:rsid w:val="005E7E55"/>
    <w:rsid w:val="005E7ED0"/>
    <w:rsid w:val="005E7F1A"/>
    <w:rsid w:val="005F0052"/>
    <w:rsid w:val="005F006F"/>
    <w:rsid w:val="005F00B8"/>
    <w:rsid w:val="005F00BA"/>
    <w:rsid w:val="005F0105"/>
    <w:rsid w:val="005F01C4"/>
    <w:rsid w:val="005F0329"/>
    <w:rsid w:val="005F03B2"/>
    <w:rsid w:val="005F0585"/>
    <w:rsid w:val="005F05F0"/>
    <w:rsid w:val="005F07EA"/>
    <w:rsid w:val="005F09CF"/>
    <w:rsid w:val="005F0B62"/>
    <w:rsid w:val="005F0CD7"/>
    <w:rsid w:val="005F0F17"/>
    <w:rsid w:val="005F0FB3"/>
    <w:rsid w:val="005F1178"/>
    <w:rsid w:val="005F125F"/>
    <w:rsid w:val="005F144B"/>
    <w:rsid w:val="005F14BA"/>
    <w:rsid w:val="005F14EF"/>
    <w:rsid w:val="005F1688"/>
    <w:rsid w:val="005F17DB"/>
    <w:rsid w:val="005F17E7"/>
    <w:rsid w:val="005F1849"/>
    <w:rsid w:val="005F18D5"/>
    <w:rsid w:val="005F19BF"/>
    <w:rsid w:val="005F19FF"/>
    <w:rsid w:val="005F1ADF"/>
    <w:rsid w:val="005F1BAF"/>
    <w:rsid w:val="005F1C4C"/>
    <w:rsid w:val="005F1D3D"/>
    <w:rsid w:val="005F1D81"/>
    <w:rsid w:val="005F1EA7"/>
    <w:rsid w:val="005F1F32"/>
    <w:rsid w:val="005F1F8B"/>
    <w:rsid w:val="005F217B"/>
    <w:rsid w:val="005F2410"/>
    <w:rsid w:val="005F2484"/>
    <w:rsid w:val="005F253E"/>
    <w:rsid w:val="005F25A8"/>
    <w:rsid w:val="005F267C"/>
    <w:rsid w:val="005F27B5"/>
    <w:rsid w:val="005F2853"/>
    <w:rsid w:val="005F2918"/>
    <w:rsid w:val="005F29CE"/>
    <w:rsid w:val="005F2A25"/>
    <w:rsid w:val="005F2B44"/>
    <w:rsid w:val="005F2E0E"/>
    <w:rsid w:val="005F2E40"/>
    <w:rsid w:val="005F2F0B"/>
    <w:rsid w:val="005F3077"/>
    <w:rsid w:val="005F3097"/>
    <w:rsid w:val="005F309A"/>
    <w:rsid w:val="005F313A"/>
    <w:rsid w:val="005F3202"/>
    <w:rsid w:val="005F3291"/>
    <w:rsid w:val="005F32DC"/>
    <w:rsid w:val="005F3476"/>
    <w:rsid w:val="005F34ED"/>
    <w:rsid w:val="005F383F"/>
    <w:rsid w:val="005F3A1A"/>
    <w:rsid w:val="005F3AD0"/>
    <w:rsid w:val="005F3C3A"/>
    <w:rsid w:val="005F3D0B"/>
    <w:rsid w:val="005F3D70"/>
    <w:rsid w:val="005F3E5B"/>
    <w:rsid w:val="005F3EF8"/>
    <w:rsid w:val="005F4405"/>
    <w:rsid w:val="005F461D"/>
    <w:rsid w:val="005F462D"/>
    <w:rsid w:val="005F469B"/>
    <w:rsid w:val="005F4836"/>
    <w:rsid w:val="005F4A29"/>
    <w:rsid w:val="005F4A30"/>
    <w:rsid w:val="005F4A3B"/>
    <w:rsid w:val="005F4A4C"/>
    <w:rsid w:val="005F4AAF"/>
    <w:rsid w:val="005F4AE9"/>
    <w:rsid w:val="005F4B5F"/>
    <w:rsid w:val="005F4C78"/>
    <w:rsid w:val="005F4C9A"/>
    <w:rsid w:val="005F4D59"/>
    <w:rsid w:val="005F4E42"/>
    <w:rsid w:val="005F51F0"/>
    <w:rsid w:val="005F538B"/>
    <w:rsid w:val="005F55FF"/>
    <w:rsid w:val="005F5688"/>
    <w:rsid w:val="005F5696"/>
    <w:rsid w:val="005F572C"/>
    <w:rsid w:val="005F575A"/>
    <w:rsid w:val="005F5878"/>
    <w:rsid w:val="005F5A23"/>
    <w:rsid w:val="005F5BF4"/>
    <w:rsid w:val="005F5CD4"/>
    <w:rsid w:val="005F5DF6"/>
    <w:rsid w:val="005F5EDB"/>
    <w:rsid w:val="005F6046"/>
    <w:rsid w:val="005F6434"/>
    <w:rsid w:val="005F64DF"/>
    <w:rsid w:val="005F66A1"/>
    <w:rsid w:val="005F6981"/>
    <w:rsid w:val="005F6B23"/>
    <w:rsid w:val="005F6BBB"/>
    <w:rsid w:val="005F6C0C"/>
    <w:rsid w:val="005F6CA1"/>
    <w:rsid w:val="005F6E58"/>
    <w:rsid w:val="005F6E76"/>
    <w:rsid w:val="005F6FE9"/>
    <w:rsid w:val="005F700E"/>
    <w:rsid w:val="005F70A8"/>
    <w:rsid w:val="005F710E"/>
    <w:rsid w:val="005F7264"/>
    <w:rsid w:val="005F72B8"/>
    <w:rsid w:val="005F7338"/>
    <w:rsid w:val="005F73AE"/>
    <w:rsid w:val="005F7574"/>
    <w:rsid w:val="005F7587"/>
    <w:rsid w:val="005F7685"/>
    <w:rsid w:val="005F775A"/>
    <w:rsid w:val="005F7991"/>
    <w:rsid w:val="005F799A"/>
    <w:rsid w:val="005F7C17"/>
    <w:rsid w:val="005F7DBF"/>
    <w:rsid w:val="0060009E"/>
    <w:rsid w:val="006001F8"/>
    <w:rsid w:val="00600250"/>
    <w:rsid w:val="00600373"/>
    <w:rsid w:val="006005B4"/>
    <w:rsid w:val="0060061B"/>
    <w:rsid w:val="0060066E"/>
    <w:rsid w:val="006007DD"/>
    <w:rsid w:val="00600811"/>
    <w:rsid w:val="006008FA"/>
    <w:rsid w:val="0060097D"/>
    <w:rsid w:val="00600AA1"/>
    <w:rsid w:val="00600AB4"/>
    <w:rsid w:val="00600C63"/>
    <w:rsid w:val="00600CC8"/>
    <w:rsid w:val="00600D86"/>
    <w:rsid w:val="00600DE2"/>
    <w:rsid w:val="00600EFB"/>
    <w:rsid w:val="006010FB"/>
    <w:rsid w:val="00601150"/>
    <w:rsid w:val="00601248"/>
    <w:rsid w:val="006012C9"/>
    <w:rsid w:val="0060133C"/>
    <w:rsid w:val="00601352"/>
    <w:rsid w:val="00601439"/>
    <w:rsid w:val="0060168F"/>
    <w:rsid w:val="006018C3"/>
    <w:rsid w:val="00601A43"/>
    <w:rsid w:val="00601BC3"/>
    <w:rsid w:val="00601D1A"/>
    <w:rsid w:val="00601D4D"/>
    <w:rsid w:val="00601EEC"/>
    <w:rsid w:val="00601F05"/>
    <w:rsid w:val="0060206D"/>
    <w:rsid w:val="006020E6"/>
    <w:rsid w:val="00602123"/>
    <w:rsid w:val="0060238A"/>
    <w:rsid w:val="006023A6"/>
    <w:rsid w:val="00602528"/>
    <w:rsid w:val="006025DF"/>
    <w:rsid w:val="006025EB"/>
    <w:rsid w:val="00602672"/>
    <w:rsid w:val="00602A85"/>
    <w:rsid w:val="00602A99"/>
    <w:rsid w:val="00602C3B"/>
    <w:rsid w:val="00602C4A"/>
    <w:rsid w:val="00602CE4"/>
    <w:rsid w:val="00602E71"/>
    <w:rsid w:val="00602ED0"/>
    <w:rsid w:val="00602FE7"/>
    <w:rsid w:val="00603058"/>
    <w:rsid w:val="00603080"/>
    <w:rsid w:val="006031B3"/>
    <w:rsid w:val="006031BB"/>
    <w:rsid w:val="006031DB"/>
    <w:rsid w:val="00603225"/>
    <w:rsid w:val="0060325C"/>
    <w:rsid w:val="00603282"/>
    <w:rsid w:val="0060328F"/>
    <w:rsid w:val="006033CF"/>
    <w:rsid w:val="006033EB"/>
    <w:rsid w:val="006036C2"/>
    <w:rsid w:val="00603851"/>
    <w:rsid w:val="00603C5B"/>
    <w:rsid w:val="00603C8E"/>
    <w:rsid w:val="00603CCB"/>
    <w:rsid w:val="00603FC4"/>
    <w:rsid w:val="00604035"/>
    <w:rsid w:val="00604053"/>
    <w:rsid w:val="006040AC"/>
    <w:rsid w:val="006040BF"/>
    <w:rsid w:val="0060415E"/>
    <w:rsid w:val="006041E1"/>
    <w:rsid w:val="0060424A"/>
    <w:rsid w:val="00604345"/>
    <w:rsid w:val="0060444C"/>
    <w:rsid w:val="00604502"/>
    <w:rsid w:val="006045C0"/>
    <w:rsid w:val="006045E0"/>
    <w:rsid w:val="0060468B"/>
    <w:rsid w:val="006048BF"/>
    <w:rsid w:val="006049DC"/>
    <w:rsid w:val="00604A22"/>
    <w:rsid w:val="00604A6D"/>
    <w:rsid w:val="00604AAA"/>
    <w:rsid w:val="00604C01"/>
    <w:rsid w:val="006051EB"/>
    <w:rsid w:val="006054A3"/>
    <w:rsid w:val="006054C4"/>
    <w:rsid w:val="0060550D"/>
    <w:rsid w:val="0060573A"/>
    <w:rsid w:val="00605914"/>
    <w:rsid w:val="00605969"/>
    <w:rsid w:val="006059CA"/>
    <w:rsid w:val="00605A06"/>
    <w:rsid w:val="00605AB0"/>
    <w:rsid w:val="00605ACB"/>
    <w:rsid w:val="00605B7A"/>
    <w:rsid w:val="00605D47"/>
    <w:rsid w:val="00605D4D"/>
    <w:rsid w:val="0060608D"/>
    <w:rsid w:val="006060D8"/>
    <w:rsid w:val="0060640A"/>
    <w:rsid w:val="006064CC"/>
    <w:rsid w:val="00606553"/>
    <w:rsid w:val="00606789"/>
    <w:rsid w:val="006068D9"/>
    <w:rsid w:val="006069B6"/>
    <w:rsid w:val="00606B8A"/>
    <w:rsid w:val="00606E11"/>
    <w:rsid w:val="0060703B"/>
    <w:rsid w:val="00607052"/>
    <w:rsid w:val="006070E3"/>
    <w:rsid w:val="006070E8"/>
    <w:rsid w:val="006071EB"/>
    <w:rsid w:val="0060731F"/>
    <w:rsid w:val="0060741A"/>
    <w:rsid w:val="006074A3"/>
    <w:rsid w:val="006074BD"/>
    <w:rsid w:val="006074D2"/>
    <w:rsid w:val="006077BA"/>
    <w:rsid w:val="006077BE"/>
    <w:rsid w:val="0060781A"/>
    <w:rsid w:val="00607A5D"/>
    <w:rsid w:val="00607B09"/>
    <w:rsid w:val="00607BE7"/>
    <w:rsid w:val="00607EFD"/>
    <w:rsid w:val="00607F3D"/>
    <w:rsid w:val="00607F8E"/>
    <w:rsid w:val="00607FFE"/>
    <w:rsid w:val="006101E3"/>
    <w:rsid w:val="006102E3"/>
    <w:rsid w:val="0061050C"/>
    <w:rsid w:val="00610665"/>
    <w:rsid w:val="00610699"/>
    <w:rsid w:val="006108F4"/>
    <w:rsid w:val="0061099D"/>
    <w:rsid w:val="006109A5"/>
    <w:rsid w:val="00610CB6"/>
    <w:rsid w:val="00610E18"/>
    <w:rsid w:val="00610ED4"/>
    <w:rsid w:val="00610EFE"/>
    <w:rsid w:val="00610FB4"/>
    <w:rsid w:val="00610FEC"/>
    <w:rsid w:val="0061101A"/>
    <w:rsid w:val="0061108A"/>
    <w:rsid w:val="006110C7"/>
    <w:rsid w:val="006111BA"/>
    <w:rsid w:val="00611348"/>
    <w:rsid w:val="0061144C"/>
    <w:rsid w:val="00611593"/>
    <w:rsid w:val="00611866"/>
    <w:rsid w:val="006119C9"/>
    <w:rsid w:val="00611AC8"/>
    <w:rsid w:val="00611B07"/>
    <w:rsid w:val="00611B1A"/>
    <w:rsid w:val="00611DF0"/>
    <w:rsid w:val="00611F3D"/>
    <w:rsid w:val="00611FC5"/>
    <w:rsid w:val="006120B6"/>
    <w:rsid w:val="00612679"/>
    <w:rsid w:val="0061271D"/>
    <w:rsid w:val="00612806"/>
    <w:rsid w:val="00612928"/>
    <w:rsid w:val="00612B78"/>
    <w:rsid w:val="00612B88"/>
    <w:rsid w:val="00612B8B"/>
    <w:rsid w:val="00612BD4"/>
    <w:rsid w:val="00612D6A"/>
    <w:rsid w:val="00612D6F"/>
    <w:rsid w:val="00612D7A"/>
    <w:rsid w:val="00612D7D"/>
    <w:rsid w:val="00612D84"/>
    <w:rsid w:val="00612D91"/>
    <w:rsid w:val="00612DB1"/>
    <w:rsid w:val="00613106"/>
    <w:rsid w:val="00613482"/>
    <w:rsid w:val="006134D2"/>
    <w:rsid w:val="00613506"/>
    <w:rsid w:val="00613542"/>
    <w:rsid w:val="00613593"/>
    <w:rsid w:val="0061368E"/>
    <w:rsid w:val="00613805"/>
    <w:rsid w:val="00613911"/>
    <w:rsid w:val="00613993"/>
    <w:rsid w:val="00613A7E"/>
    <w:rsid w:val="00613B14"/>
    <w:rsid w:val="00613BA8"/>
    <w:rsid w:val="00613C44"/>
    <w:rsid w:val="00613D6B"/>
    <w:rsid w:val="00613D79"/>
    <w:rsid w:val="00613E74"/>
    <w:rsid w:val="00613E92"/>
    <w:rsid w:val="00613EA8"/>
    <w:rsid w:val="00613F3C"/>
    <w:rsid w:val="00613F80"/>
    <w:rsid w:val="00614295"/>
    <w:rsid w:val="006142B4"/>
    <w:rsid w:val="00614332"/>
    <w:rsid w:val="0061441D"/>
    <w:rsid w:val="00614466"/>
    <w:rsid w:val="00614571"/>
    <w:rsid w:val="006147CE"/>
    <w:rsid w:val="0061487C"/>
    <w:rsid w:val="00614B64"/>
    <w:rsid w:val="00614BDD"/>
    <w:rsid w:val="00614BFA"/>
    <w:rsid w:val="00614D79"/>
    <w:rsid w:val="00614EDC"/>
    <w:rsid w:val="00614F93"/>
    <w:rsid w:val="00615164"/>
    <w:rsid w:val="006151AD"/>
    <w:rsid w:val="006151E9"/>
    <w:rsid w:val="006151F5"/>
    <w:rsid w:val="006153AC"/>
    <w:rsid w:val="006154A8"/>
    <w:rsid w:val="00615741"/>
    <w:rsid w:val="0061581B"/>
    <w:rsid w:val="00615A25"/>
    <w:rsid w:val="00615AA5"/>
    <w:rsid w:val="00615EC4"/>
    <w:rsid w:val="00616067"/>
    <w:rsid w:val="0061611C"/>
    <w:rsid w:val="006163CA"/>
    <w:rsid w:val="006164A9"/>
    <w:rsid w:val="006165C9"/>
    <w:rsid w:val="006166C2"/>
    <w:rsid w:val="00616810"/>
    <w:rsid w:val="00616899"/>
    <w:rsid w:val="006168AA"/>
    <w:rsid w:val="006169FE"/>
    <w:rsid w:val="00616A26"/>
    <w:rsid w:val="00616B04"/>
    <w:rsid w:val="00616B6A"/>
    <w:rsid w:val="00616BE8"/>
    <w:rsid w:val="00616C04"/>
    <w:rsid w:val="00616C0B"/>
    <w:rsid w:val="00616D63"/>
    <w:rsid w:val="00616DA7"/>
    <w:rsid w:val="00616DC5"/>
    <w:rsid w:val="00616F26"/>
    <w:rsid w:val="00617132"/>
    <w:rsid w:val="00617263"/>
    <w:rsid w:val="006172D5"/>
    <w:rsid w:val="006173E8"/>
    <w:rsid w:val="006176A2"/>
    <w:rsid w:val="00617907"/>
    <w:rsid w:val="006179A6"/>
    <w:rsid w:val="006179DC"/>
    <w:rsid w:val="00617ADE"/>
    <w:rsid w:val="00617C3A"/>
    <w:rsid w:val="00617CDF"/>
    <w:rsid w:val="00617D2E"/>
    <w:rsid w:val="00617E52"/>
    <w:rsid w:val="00617EBE"/>
    <w:rsid w:val="00617F72"/>
    <w:rsid w:val="00620167"/>
    <w:rsid w:val="006201CA"/>
    <w:rsid w:val="00620214"/>
    <w:rsid w:val="006202C8"/>
    <w:rsid w:val="00620423"/>
    <w:rsid w:val="00620935"/>
    <w:rsid w:val="00620957"/>
    <w:rsid w:val="00620B46"/>
    <w:rsid w:val="00620F27"/>
    <w:rsid w:val="00620F51"/>
    <w:rsid w:val="006211E7"/>
    <w:rsid w:val="006212E4"/>
    <w:rsid w:val="006213A7"/>
    <w:rsid w:val="006214F6"/>
    <w:rsid w:val="00621574"/>
    <w:rsid w:val="0062157E"/>
    <w:rsid w:val="006215A7"/>
    <w:rsid w:val="006216D3"/>
    <w:rsid w:val="006217DA"/>
    <w:rsid w:val="00621874"/>
    <w:rsid w:val="006218CE"/>
    <w:rsid w:val="006218E8"/>
    <w:rsid w:val="00621903"/>
    <w:rsid w:val="00621980"/>
    <w:rsid w:val="006219CF"/>
    <w:rsid w:val="006219FF"/>
    <w:rsid w:val="00621A19"/>
    <w:rsid w:val="00621F8B"/>
    <w:rsid w:val="006220E4"/>
    <w:rsid w:val="006221CD"/>
    <w:rsid w:val="006223E2"/>
    <w:rsid w:val="006223E3"/>
    <w:rsid w:val="006223E7"/>
    <w:rsid w:val="0062246C"/>
    <w:rsid w:val="00622496"/>
    <w:rsid w:val="006226CF"/>
    <w:rsid w:val="006228E5"/>
    <w:rsid w:val="0062291C"/>
    <w:rsid w:val="006229EA"/>
    <w:rsid w:val="00622A4E"/>
    <w:rsid w:val="00622E2E"/>
    <w:rsid w:val="0062306A"/>
    <w:rsid w:val="00623305"/>
    <w:rsid w:val="006233AC"/>
    <w:rsid w:val="0062348E"/>
    <w:rsid w:val="0062348F"/>
    <w:rsid w:val="006236CD"/>
    <w:rsid w:val="0062399E"/>
    <w:rsid w:val="00623CAE"/>
    <w:rsid w:val="00623D32"/>
    <w:rsid w:val="00623D5A"/>
    <w:rsid w:val="00623D8F"/>
    <w:rsid w:val="00623DB9"/>
    <w:rsid w:val="00623E86"/>
    <w:rsid w:val="00623EFA"/>
    <w:rsid w:val="00623F17"/>
    <w:rsid w:val="00624082"/>
    <w:rsid w:val="006240F7"/>
    <w:rsid w:val="006241C1"/>
    <w:rsid w:val="006241F5"/>
    <w:rsid w:val="00624309"/>
    <w:rsid w:val="006243D9"/>
    <w:rsid w:val="00624531"/>
    <w:rsid w:val="0062475D"/>
    <w:rsid w:val="006248A9"/>
    <w:rsid w:val="00624938"/>
    <w:rsid w:val="00624A04"/>
    <w:rsid w:val="00624C5B"/>
    <w:rsid w:val="00624DA5"/>
    <w:rsid w:val="00624DC5"/>
    <w:rsid w:val="00624E32"/>
    <w:rsid w:val="00624E7B"/>
    <w:rsid w:val="0062516E"/>
    <w:rsid w:val="00625373"/>
    <w:rsid w:val="006253B4"/>
    <w:rsid w:val="006253DC"/>
    <w:rsid w:val="006255BD"/>
    <w:rsid w:val="006255DA"/>
    <w:rsid w:val="0062568A"/>
    <w:rsid w:val="0062568C"/>
    <w:rsid w:val="006257C9"/>
    <w:rsid w:val="00625809"/>
    <w:rsid w:val="00625894"/>
    <w:rsid w:val="00625A30"/>
    <w:rsid w:val="00625DC6"/>
    <w:rsid w:val="00625E9D"/>
    <w:rsid w:val="00625F60"/>
    <w:rsid w:val="00625F70"/>
    <w:rsid w:val="00625FC5"/>
    <w:rsid w:val="00626147"/>
    <w:rsid w:val="006261D2"/>
    <w:rsid w:val="006262B8"/>
    <w:rsid w:val="006263D7"/>
    <w:rsid w:val="00626552"/>
    <w:rsid w:val="006266AB"/>
    <w:rsid w:val="006266D5"/>
    <w:rsid w:val="00626846"/>
    <w:rsid w:val="006268D9"/>
    <w:rsid w:val="006268EB"/>
    <w:rsid w:val="00626A43"/>
    <w:rsid w:val="00626B6F"/>
    <w:rsid w:val="00626C8C"/>
    <w:rsid w:val="00626DD7"/>
    <w:rsid w:val="00626E0D"/>
    <w:rsid w:val="00626EAB"/>
    <w:rsid w:val="00626EC5"/>
    <w:rsid w:val="00626F3D"/>
    <w:rsid w:val="00626F56"/>
    <w:rsid w:val="00626F8B"/>
    <w:rsid w:val="0062709A"/>
    <w:rsid w:val="0062709D"/>
    <w:rsid w:val="0062732A"/>
    <w:rsid w:val="0062735A"/>
    <w:rsid w:val="00627362"/>
    <w:rsid w:val="00627452"/>
    <w:rsid w:val="006274EE"/>
    <w:rsid w:val="006274F3"/>
    <w:rsid w:val="00627549"/>
    <w:rsid w:val="0062783A"/>
    <w:rsid w:val="00627895"/>
    <w:rsid w:val="00627A0B"/>
    <w:rsid w:val="00627C34"/>
    <w:rsid w:val="00627CA2"/>
    <w:rsid w:val="00627CE3"/>
    <w:rsid w:val="00627D69"/>
    <w:rsid w:val="00627DA6"/>
    <w:rsid w:val="00627DED"/>
    <w:rsid w:val="006300B4"/>
    <w:rsid w:val="006301C8"/>
    <w:rsid w:val="00630272"/>
    <w:rsid w:val="006302B9"/>
    <w:rsid w:val="00630574"/>
    <w:rsid w:val="00630747"/>
    <w:rsid w:val="0063078C"/>
    <w:rsid w:val="00630801"/>
    <w:rsid w:val="00630845"/>
    <w:rsid w:val="006308B6"/>
    <w:rsid w:val="00630AB6"/>
    <w:rsid w:val="00630AE0"/>
    <w:rsid w:val="00630BE3"/>
    <w:rsid w:val="00630BF4"/>
    <w:rsid w:val="00630D5D"/>
    <w:rsid w:val="00630D60"/>
    <w:rsid w:val="00630DFE"/>
    <w:rsid w:val="00630FB9"/>
    <w:rsid w:val="006310A4"/>
    <w:rsid w:val="006310E0"/>
    <w:rsid w:val="0063116B"/>
    <w:rsid w:val="006311C3"/>
    <w:rsid w:val="00631320"/>
    <w:rsid w:val="006313D3"/>
    <w:rsid w:val="00631441"/>
    <w:rsid w:val="00631510"/>
    <w:rsid w:val="00631909"/>
    <w:rsid w:val="00631A52"/>
    <w:rsid w:val="00631C61"/>
    <w:rsid w:val="00631D71"/>
    <w:rsid w:val="00631D7B"/>
    <w:rsid w:val="00631E91"/>
    <w:rsid w:val="00631FD8"/>
    <w:rsid w:val="00632005"/>
    <w:rsid w:val="0063204F"/>
    <w:rsid w:val="00632057"/>
    <w:rsid w:val="0063209C"/>
    <w:rsid w:val="00632132"/>
    <w:rsid w:val="0063219C"/>
    <w:rsid w:val="00632238"/>
    <w:rsid w:val="00632341"/>
    <w:rsid w:val="006323D9"/>
    <w:rsid w:val="00632452"/>
    <w:rsid w:val="006324DC"/>
    <w:rsid w:val="006324E9"/>
    <w:rsid w:val="0063272A"/>
    <w:rsid w:val="0063289C"/>
    <w:rsid w:val="00632A2A"/>
    <w:rsid w:val="00632BE6"/>
    <w:rsid w:val="00632F29"/>
    <w:rsid w:val="00632F4D"/>
    <w:rsid w:val="00632F85"/>
    <w:rsid w:val="00632FAF"/>
    <w:rsid w:val="0063301A"/>
    <w:rsid w:val="006332FB"/>
    <w:rsid w:val="0063352B"/>
    <w:rsid w:val="006335C7"/>
    <w:rsid w:val="006336EB"/>
    <w:rsid w:val="00633762"/>
    <w:rsid w:val="00633AED"/>
    <w:rsid w:val="00633B8B"/>
    <w:rsid w:val="00633C0E"/>
    <w:rsid w:val="00633C87"/>
    <w:rsid w:val="00633E0F"/>
    <w:rsid w:val="00633E18"/>
    <w:rsid w:val="00633ED7"/>
    <w:rsid w:val="00633F28"/>
    <w:rsid w:val="006344C2"/>
    <w:rsid w:val="0063459D"/>
    <w:rsid w:val="006345B7"/>
    <w:rsid w:val="006345CB"/>
    <w:rsid w:val="0063489F"/>
    <w:rsid w:val="006348A5"/>
    <w:rsid w:val="00634B69"/>
    <w:rsid w:val="00634CC0"/>
    <w:rsid w:val="00634E54"/>
    <w:rsid w:val="00635022"/>
    <w:rsid w:val="00635106"/>
    <w:rsid w:val="0063518E"/>
    <w:rsid w:val="00635190"/>
    <w:rsid w:val="006351A9"/>
    <w:rsid w:val="00635346"/>
    <w:rsid w:val="0063543F"/>
    <w:rsid w:val="006354B8"/>
    <w:rsid w:val="006354EF"/>
    <w:rsid w:val="006354F5"/>
    <w:rsid w:val="0063551B"/>
    <w:rsid w:val="00635541"/>
    <w:rsid w:val="006355C2"/>
    <w:rsid w:val="00635651"/>
    <w:rsid w:val="006356F9"/>
    <w:rsid w:val="00635859"/>
    <w:rsid w:val="006358B3"/>
    <w:rsid w:val="006359A3"/>
    <w:rsid w:val="00635B0C"/>
    <w:rsid w:val="00635BD0"/>
    <w:rsid w:val="00635D08"/>
    <w:rsid w:val="00635D27"/>
    <w:rsid w:val="00635DF4"/>
    <w:rsid w:val="00635E47"/>
    <w:rsid w:val="00635EE6"/>
    <w:rsid w:val="00635EF3"/>
    <w:rsid w:val="00635FC7"/>
    <w:rsid w:val="006360CB"/>
    <w:rsid w:val="0063638B"/>
    <w:rsid w:val="0063643D"/>
    <w:rsid w:val="0063656E"/>
    <w:rsid w:val="00636594"/>
    <w:rsid w:val="00636603"/>
    <w:rsid w:val="00636668"/>
    <w:rsid w:val="00636682"/>
    <w:rsid w:val="00636A60"/>
    <w:rsid w:val="00636B3F"/>
    <w:rsid w:val="00636B80"/>
    <w:rsid w:val="00636BC3"/>
    <w:rsid w:val="00636C3B"/>
    <w:rsid w:val="00636D3B"/>
    <w:rsid w:val="00636ED8"/>
    <w:rsid w:val="00636F03"/>
    <w:rsid w:val="00636FC9"/>
    <w:rsid w:val="00637040"/>
    <w:rsid w:val="0063708E"/>
    <w:rsid w:val="0063727A"/>
    <w:rsid w:val="0063742E"/>
    <w:rsid w:val="006374F2"/>
    <w:rsid w:val="00637686"/>
    <w:rsid w:val="00637767"/>
    <w:rsid w:val="00637835"/>
    <w:rsid w:val="0063783C"/>
    <w:rsid w:val="006378A2"/>
    <w:rsid w:val="00637924"/>
    <w:rsid w:val="00637A2D"/>
    <w:rsid w:val="00637A79"/>
    <w:rsid w:val="00637E5C"/>
    <w:rsid w:val="00640226"/>
    <w:rsid w:val="00640401"/>
    <w:rsid w:val="0064040E"/>
    <w:rsid w:val="006404B3"/>
    <w:rsid w:val="00640597"/>
    <w:rsid w:val="006405CA"/>
    <w:rsid w:val="00640680"/>
    <w:rsid w:val="0064070E"/>
    <w:rsid w:val="00640776"/>
    <w:rsid w:val="00640839"/>
    <w:rsid w:val="0064085B"/>
    <w:rsid w:val="0064086D"/>
    <w:rsid w:val="00640996"/>
    <w:rsid w:val="00640B0B"/>
    <w:rsid w:val="00640BC1"/>
    <w:rsid w:val="00640CA1"/>
    <w:rsid w:val="00640DAA"/>
    <w:rsid w:val="00640EEF"/>
    <w:rsid w:val="00641007"/>
    <w:rsid w:val="0064114C"/>
    <w:rsid w:val="00641176"/>
    <w:rsid w:val="006411FA"/>
    <w:rsid w:val="006413D2"/>
    <w:rsid w:val="006413FA"/>
    <w:rsid w:val="0064147E"/>
    <w:rsid w:val="00641646"/>
    <w:rsid w:val="0064166B"/>
    <w:rsid w:val="0064171F"/>
    <w:rsid w:val="006417F5"/>
    <w:rsid w:val="0064184F"/>
    <w:rsid w:val="0064192E"/>
    <w:rsid w:val="0064199E"/>
    <w:rsid w:val="00641B05"/>
    <w:rsid w:val="00641D68"/>
    <w:rsid w:val="00641EFD"/>
    <w:rsid w:val="00642001"/>
    <w:rsid w:val="00642037"/>
    <w:rsid w:val="00642176"/>
    <w:rsid w:val="006423C9"/>
    <w:rsid w:val="0064247A"/>
    <w:rsid w:val="00642482"/>
    <w:rsid w:val="00642628"/>
    <w:rsid w:val="0064271E"/>
    <w:rsid w:val="00642C6C"/>
    <w:rsid w:val="00642E24"/>
    <w:rsid w:val="00642EB9"/>
    <w:rsid w:val="00642F59"/>
    <w:rsid w:val="00642F9A"/>
    <w:rsid w:val="006432C6"/>
    <w:rsid w:val="006433A4"/>
    <w:rsid w:val="006434F4"/>
    <w:rsid w:val="0064351B"/>
    <w:rsid w:val="00643520"/>
    <w:rsid w:val="00643569"/>
    <w:rsid w:val="00643573"/>
    <w:rsid w:val="006435D7"/>
    <w:rsid w:val="00643782"/>
    <w:rsid w:val="00643797"/>
    <w:rsid w:val="0064381B"/>
    <w:rsid w:val="00643C42"/>
    <w:rsid w:val="00643C9D"/>
    <w:rsid w:val="00643FF9"/>
    <w:rsid w:val="00644063"/>
    <w:rsid w:val="0064412F"/>
    <w:rsid w:val="0064424B"/>
    <w:rsid w:val="00644263"/>
    <w:rsid w:val="0064437B"/>
    <w:rsid w:val="00644380"/>
    <w:rsid w:val="006443AC"/>
    <w:rsid w:val="006443B6"/>
    <w:rsid w:val="006444F4"/>
    <w:rsid w:val="00644585"/>
    <w:rsid w:val="00644597"/>
    <w:rsid w:val="0064459D"/>
    <w:rsid w:val="00644701"/>
    <w:rsid w:val="0064481F"/>
    <w:rsid w:val="00644829"/>
    <w:rsid w:val="00644831"/>
    <w:rsid w:val="00644895"/>
    <w:rsid w:val="00644A27"/>
    <w:rsid w:val="00644B74"/>
    <w:rsid w:val="00644C47"/>
    <w:rsid w:val="00644D38"/>
    <w:rsid w:val="00644E4B"/>
    <w:rsid w:val="0064507C"/>
    <w:rsid w:val="00645091"/>
    <w:rsid w:val="006452BC"/>
    <w:rsid w:val="006454BD"/>
    <w:rsid w:val="006454C3"/>
    <w:rsid w:val="006454EE"/>
    <w:rsid w:val="006455E8"/>
    <w:rsid w:val="006457A3"/>
    <w:rsid w:val="00645817"/>
    <w:rsid w:val="00645A25"/>
    <w:rsid w:val="00645AB3"/>
    <w:rsid w:val="00645C55"/>
    <w:rsid w:val="00645CBA"/>
    <w:rsid w:val="00645D9F"/>
    <w:rsid w:val="00645E13"/>
    <w:rsid w:val="00645E62"/>
    <w:rsid w:val="00645EF8"/>
    <w:rsid w:val="00646114"/>
    <w:rsid w:val="0064658C"/>
    <w:rsid w:val="00646629"/>
    <w:rsid w:val="006466B8"/>
    <w:rsid w:val="006466D6"/>
    <w:rsid w:val="00646762"/>
    <w:rsid w:val="00646853"/>
    <w:rsid w:val="006468C4"/>
    <w:rsid w:val="00646956"/>
    <w:rsid w:val="00646978"/>
    <w:rsid w:val="00646CAE"/>
    <w:rsid w:val="00646D0F"/>
    <w:rsid w:val="00646D69"/>
    <w:rsid w:val="00646FDF"/>
    <w:rsid w:val="00647088"/>
    <w:rsid w:val="006470AA"/>
    <w:rsid w:val="0064712B"/>
    <w:rsid w:val="0064717A"/>
    <w:rsid w:val="00647204"/>
    <w:rsid w:val="006472C8"/>
    <w:rsid w:val="0064735E"/>
    <w:rsid w:val="00647480"/>
    <w:rsid w:val="006474B7"/>
    <w:rsid w:val="006474DB"/>
    <w:rsid w:val="006474FD"/>
    <w:rsid w:val="006475DB"/>
    <w:rsid w:val="006475E7"/>
    <w:rsid w:val="006476AB"/>
    <w:rsid w:val="006476CC"/>
    <w:rsid w:val="00647721"/>
    <w:rsid w:val="00647765"/>
    <w:rsid w:val="0064798A"/>
    <w:rsid w:val="00647A38"/>
    <w:rsid w:val="00647A74"/>
    <w:rsid w:val="00647B31"/>
    <w:rsid w:val="00647C0C"/>
    <w:rsid w:val="00647E6A"/>
    <w:rsid w:val="00647E74"/>
    <w:rsid w:val="00650167"/>
    <w:rsid w:val="006501BD"/>
    <w:rsid w:val="006502E6"/>
    <w:rsid w:val="006504E8"/>
    <w:rsid w:val="0065055A"/>
    <w:rsid w:val="00650581"/>
    <w:rsid w:val="006505F5"/>
    <w:rsid w:val="0065073D"/>
    <w:rsid w:val="006508A1"/>
    <w:rsid w:val="00650B89"/>
    <w:rsid w:val="00650BF3"/>
    <w:rsid w:val="00650D8D"/>
    <w:rsid w:val="00650DE6"/>
    <w:rsid w:val="00650EB3"/>
    <w:rsid w:val="00650F86"/>
    <w:rsid w:val="00650FE3"/>
    <w:rsid w:val="00651036"/>
    <w:rsid w:val="006510A1"/>
    <w:rsid w:val="006510B2"/>
    <w:rsid w:val="006511B9"/>
    <w:rsid w:val="006512D5"/>
    <w:rsid w:val="0065140E"/>
    <w:rsid w:val="00651441"/>
    <w:rsid w:val="0065149E"/>
    <w:rsid w:val="006514BC"/>
    <w:rsid w:val="0065160A"/>
    <w:rsid w:val="00651628"/>
    <w:rsid w:val="00651686"/>
    <w:rsid w:val="006516F5"/>
    <w:rsid w:val="00651702"/>
    <w:rsid w:val="0065178D"/>
    <w:rsid w:val="00651A71"/>
    <w:rsid w:val="00651B1F"/>
    <w:rsid w:val="00651B35"/>
    <w:rsid w:val="00651C1E"/>
    <w:rsid w:val="00651C51"/>
    <w:rsid w:val="00651CA1"/>
    <w:rsid w:val="00651E05"/>
    <w:rsid w:val="00651F1F"/>
    <w:rsid w:val="006520D4"/>
    <w:rsid w:val="0065220D"/>
    <w:rsid w:val="006522CF"/>
    <w:rsid w:val="0065230D"/>
    <w:rsid w:val="006523E2"/>
    <w:rsid w:val="00652503"/>
    <w:rsid w:val="0065260E"/>
    <w:rsid w:val="0065263A"/>
    <w:rsid w:val="006526C8"/>
    <w:rsid w:val="00652785"/>
    <w:rsid w:val="0065285A"/>
    <w:rsid w:val="006528AF"/>
    <w:rsid w:val="006528F6"/>
    <w:rsid w:val="0065295F"/>
    <w:rsid w:val="006529E7"/>
    <w:rsid w:val="00652A6E"/>
    <w:rsid w:val="006532AC"/>
    <w:rsid w:val="006532D9"/>
    <w:rsid w:val="0065339A"/>
    <w:rsid w:val="00653455"/>
    <w:rsid w:val="006534DA"/>
    <w:rsid w:val="00653501"/>
    <w:rsid w:val="006535F5"/>
    <w:rsid w:val="0065370C"/>
    <w:rsid w:val="00653774"/>
    <w:rsid w:val="0065391A"/>
    <w:rsid w:val="00653A09"/>
    <w:rsid w:val="00653A4D"/>
    <w:rsid w:val="00653AC4"/>
    <w:rsid w:val="00653B67"/>
    <w:rsid w:val="00653B73"/>
    <w:rsid w:val="00653B96"/>
    <w:rsid w:val="00653C31"/>
    <w:rsid w:val="00653E84"/>
    <w:rsid w:val="00653FD6"/>
    <w:rsid w:val="00654051"/>
    <w:rsid w:val="00654264"/>
    <w:rsid w:val="00654313"/>
    <w:rsid w:val="00654439"/>
    <w:rsid w:val="00654466"/>
    <w:rsid w:val="00654496"/>
    <w:rsid w:val="006544B2"/>
    <w:rsid w:val="006545B0"/>
    <w:rsid w:val="006547E9"/>
    <w:rsid w:val="0065494D"/>
    <w:rsid w:val="0065499A"/>
    <w:rsid w:val="00654AAD"/>
    <w:rsid w:val="00654B9E"/>
    <w:rsid w:val="00654C25"/>
    <w:rsid w:val="00654C4B"/>
    <w:rsid w:val="00654D8B"/>
    <w:rsid w:val="00654E62"/>
    <w:rsid w:val="00655047"/>
    <w:rsid w:val="00655112"/>
    <w:rsid w:val="00655343"/>
    <w:rsid w:val="00655404"/>
    <w:rsid w:val="00655524"/>
    <w:rsid w:val="006555C6"/>
    <w:rsid w:val="0065567B"/>
    <w:rsid w:val="00655997"/>
    <w:rsid w:val="006559B7"/>
    <w:rsid w:val="00655C01"/>
    <w:rsid w:val="00655CF1"/>
    <w:rsid w:val="00655E66"/>
    <w:rsid w:val="00655F90"/>
    <w:rsid w:val="006560A3"/>
    <w:rsid w:val="006560BC"/>
    <w:rsid w:val="00656137"/>
    <w:rsid w:val="00656315"/>
    <w:rsid w:val="00656414"/>
    <w:rsid w:val="00656424"/>
    <w:rsid w:val="0065642B"/>
    <w:rsid w:val="0065644C"/>
    <w:rsid w:val="006564D5"/>
    <w:rsid w:val="00656508"/>
    <w:rsid w:val="0065657C"/>
    <w:rsid w:val="00656720"/>
    <w:rsid w:val="00656731"/>
    <w:rsid w:val="0065675A"/>
    <w:rsid w:val="0065678B"/>
    <w:rsid w:val="0065678C"/>
    <w:rsid w:val="00656794"/>
    <w:rsid w:val="00656841"/>
    <w:rsid w:val="00656A3D"/>
    <w:rsid w:val="00656AD5"/>
    <w:rsid w:val="00656B27"/>
    <w:rsid w:val="00656B4A"/>
    <w:rsid w:val="00656C3D"/>
    <w:rsid w:val="00656DF6"/>
    <w:rsid w:val="00656E2C"/>
    <w:rsid w:val="00656EE6"/>
    <w:rsid w:val="00656F1D"/>
    <w:rsid w:val="00657071"/>
    <w:rsid w:val="00657075"/>
    <w:rsid w:val="00657235"/>
    <w:rsid w:val="0065734F"/>
    <w:rsid w:val="00657405"/>
    <w:rsid w:val="006574FF"/>
    <w:rsid w:val="006575DC"/>
    <w:rsid w:val="00657689"/>
    <w:rsid w:val="006576AF"/>
    <w:rsid w:val="006576DD"/>
    <w:rsid w:val="006576EA"/>
    <w:rsid w:val="00657760"/>
    <w:rsid w:val="006577E1"/>
    <w:rsid w:val="00657948"/>
    <w:rsid w:val="006579FA"/>
    <w:rsid w:val="00657C19"/>
    <w:rsid w:val="00657F6E"/>
    <w:rsid w:val="0066004E"/>
    <w:rsid w:val="006603A6"/>
    <w:rsid w:val="006603EA"/>
    <w:rsid w:val="006604B7"/>
    <w:rsid w:val="006605D9"/>
    <w:rsid w:val="0066073E"/>
    <w:rsid w:val="006607AB"/>
    <w:rsid w:val="006607B7"/>
    <w:rsid w:val="00660948"/>
    <w:rsid w:val="00660959"/>
    <w:rsid w:val="0066099D"/>
    <w:rsid w:val="00660AF3"/>
    <w:rsid w:val="00660B74"/>
    <w:rsid w:val="00660BB3"/>
    <w:rsid w:val="00660CD7"/>
    <w:rsid w:val="00660D36"/>
    <w:rsid w:val="00660E2C"/>
    <w:rsid w:val="00660E68"/>
    <w:rsid w:val="00660FA6"/>
    <w:rsid w:val="00661102"/>
    <w:rsid w:val="006611FF"/>
    <w:rsid w:val="006613DE"/>
    <w:rsid w:val="00661958"/>
    <w:rsid w:val="006619A2"/>
    <w:rsid w:val="00661A38"/>
    <w:rsid w:val="00661A71"/>
    <w:rsid w:val="00661B07"/>
    <w:rsid w:val="00661C9C"/>
    <w:rsid w:val="00661C9D"/>
    <w:rsid w:val="00661E43"/>
    <w:rsid w:val="006620D0"/>
    <w:rsid w:val="00662237"/>
    <w:rsid w:val="0066224F"/>
    <w:rsid w:val="0066228A"/>
    <w:rsid w:val="00662383"/>
    <w:rsid w:val="00662384"/>
    <w:rsid w:val="006623C9"/>
    <w:rsid w:val="006625C6"/>
    <w:rsid w:val="0066270F"/>
    <w:rsid w:val="0066271C"/>
    <w:rsid w:val="0066277C"/>
    <w:rsid w:val="006628ED"/>
    <w:rsid w:val="006629F5"/>
    <w:rsid w:val="00662A68"/>
    <w:rsid w:val="00662AC4"/>
    <w:rsid w:val="00662B90"/>
    <w:rsid w:val="00662D1B"/>
    <w:rsid w:val="00662DA0"/>
    <w:rsid w:val="00662DD6"/>
    <w:rsid w:val="00662E04"/>
    <w:rsid w:val="00662E25"/>
    <w:rsid w:val="00662E6C"/>
    <w:rsid w:val="00662F2C"/>
    <w:rsid w:val="0066314A"/>
    <w:rsid w:val="0066317A"/>
    <w:rsid w:val="006631BB"/>
    <w:rsid w:val="006631F4"/>
    <w:rsid w:val="006634EC"/>
    <w:rsid w:val="00663613"/>
    <w:rsid w:val="00663625"/>
    <w:rsid w:val="006638C5"/>
    <w:rsid w:val="00663928"/>
    <w:rsid w:val="00663C3C"/>
    <w:rsid w:val="00663D16"/>
    <w:rsid w:val="00663E1A"/>
    <w:rsid w:val="00663EDB"/>
    <w:rsid w:val="00663F2C"/>
    <w:rsid w:val="00664008"/>
    <w:rsid w:val="006642F5"/>
    <w:rsid w:val="0066435C"/>
    <w:rsid w:val="00664412"/>
    <w:rsid w:val="00664486"/>
    <w:rsid w:val="00664B47"/>
    <w:rsid w:val="00664C11"/>
    <w:rsid w:val="00664CB6"/>
    <w:rsid w:val="00664E08"/>
    <w:rsid w:val="006650D6"/>
    <w:rsid w:val="006653A3"/>
    <w:rsid w:val="006654C6"/>
    <w:rsid w:val="0066558F"/>
    <w:rsid w:val="006655DF"/>
    <w:rsid w:val="0066593C"/>
    <w:rsid w:val="00665A98"/>
    <w:rsid w:val="00665B70"/>
    <w:rsid w:val="00665EF2"/>
    <w:rsid w:val="00665F88"/>
    <w:rsid w:val="00666026"/>
    <w:rsid w:val="00666050"/>
    <w:rsid w:val="006662D5"/>
    <w:rsid w:val="00666303"/>
    <w:rsid w:val="0066631B"/>
    <w:rsid w:val="0066637F"/>
    <w:rsid w:val="0066642E"/>
    <w:rsid w:val="0066646F"/>
    <w:rsid w:val="00666655"/>
    <w:rsid w:val="006666E2"/>
    <w:rsid w:val="006667A2"/>
    <w:rsid w:val="0066687E"/>
    <w:rsid w:val="00666DDC"/>
    <w:rsid w:val="00666E42"/>
    <w:rsid w:val="00666F25"/>
    <w:rsid w:val="00666F92"/>
    <w:rsid w:val="00666FA8"/>
    <w:rsid w:val="00666FEA"/>
    <w:rsid w:val="006672A4"/>
    <w:rsid w:val="00667334"/>
    <w:rsid w:val="0066735D"/>
    <w:rsid w:val="0066747D"/>
    <w:rsid w:val="00667551"/>
    <w:rsid w:val="006676D4"/>
    <w:rsid w:val="00667734"/>
    <w:rsid w:val="0066778C"/>
    <w:rsid w:val="006677E5"/>
    <w:rsid w:val="006678DD"/>
    <w:rsid w:val="006678F7"/>
    <w:rsid w:val="0066796E"/>
    <w:rsid w:val="006679D4"/>
    <w:rsid w:val="00667B55"/>
    <w:rsid w:val="00667B76"/>
    <w:rsid w:val="00667CB2"/>
    <w:rsid w:val="00667CDF"/>
    <w:rsid w:val="00667DA4"/>
    <w:rsid w:val="00667DC7"/>
    <w:rsid w:val="00667F20"/>
    <w:rsid w:val="006700DD"/>
    <w:rsid w:val="00670285"/>
    <w:rsid w:val="00670316"/>
    <w:rsid w:val="00670326"/>
    <w:rsid w:val="006703D6"/>
    <w:rsid w:val="00670809"/>
    <w:rsid w:val="00670942"/>
    <w:rsid w:val="00670960"/>
    <w:rsid w:val="006709AA"/>
    <w:rsid w:val="006709C0"/>
    <w:rsid w:val="006709DB"/>
    <w:rsid w:val="00670A87"/>
    <w:rsid w:val="00670CC6"/>
    <w:rsid w:val="00670DF4"/>
    <w:rsid w:val="006710C9"/>
    <w:rsid w:val="006711E1"/>
    <w:rsid w:val="00671243"/>
    <w:rsid w:val="006712A7"/>
    <w:rsid w:val="006713C8"/>
    <w:rsid w:val="00671488"/>
    <w:rsid w:val="00671529"/>
    <w:rsid w:val="00671659"/>
    <w:rsid w:val="006716B0"/>
    <w:rsid w:val="00671711"/>
    <w:rsid w:val="006717DC"/>
    <w:rsid w:val="00671807"/>
    <w:rsid w:val="006719A0"/>
    <w:rsid w:val="00671AE2"/>
    <w:rsid w:val="00671B49"/>
    <w:rsid w:val="00671BA7"/>
    <w:rsid w:val="00671C3B"/>
    <w:rsid w:val="00671C43"/>
    <w:rsid w:val="00671E24"/>
    <w:rsid w:val="00671E59"/>
    <w:rsid w:val="00671F75"/>
    <w:rsid w:val="0067209C"/>
    <w:rsid w:val="00672112"/>
    <w:rsid w:val="006721D5"/>
    <w:rsid w:val="006722BB"/>
    <w:rsid w:val="006722E4"/>
    <w:rsid w:val="00672355"/>
    <w:rsid w:val="006723C5"/>
    <w:rsid w:val="006723E8"/>
    <w:rsid w:val="00672567"/>
    <w:rsid w:val="00672669"/>
    <w:rsid w:val="00672929"/>
    <w:rsid w:val="00672996"/>
    <w:rsid w:val="00672A32"/>
    <w:rsid w:val="00672B39"/>
    <w:rsid w:val="00672CB0"/>
    <w:rsid w:val="00672E16"/>
    <w:rsid w:val="0067312F"/>
    <w:rsid w:val="0067313D"/>
    <w:rsid w:val="00673173"/>
    <w:rsid w:val="006731D4"/>
    <w:rsid w:val="0067327D"/>
    <w:rsid w:val="0067327F"/>
    <w:rsid w:val="006732B8"/>
    <w:rsid w:val="00673371"/>
    <w:rsid w:val="00673411"/>
    <w:rsid w:val="00673707"/>
    <w:rsid w:val="00673743"/>
    <w:rsid w:val="0067386B"/>
    <w:rsid w:val="0067398B"/>
    <w:rsid w:val="00673A44"/>
    <w:rsid w:val="00673A6E"/>
    <w:rsid w:val="00673A8F"/>
    <w:rsid w:val="00673B60"/>
    <w:rsid w:val="00673C9E"/>
    <w:rsid w:val="00673D21"/>
    <w:rsid w:val="00673D5E"/>
    <w:rsid w:val="0067415D"/>
    <w:rsid w:val="006744FB"/>
    <w:rsid w:val="0067455E"/>
    <w:rsid w:val="006745FB"/>
    <w:rsid w:val="0067461C"/>
    <w:rsid w:val="006748B2"/>
    <w:rsid w:val="00674980"/>
    <w:rsid w:val="00674A66"/>
    <w:rsid w:val="00674A72"/>
    <w:rsid w:val="00674A9A"/>
    <w:rsid w:val="00674AE1"/>
    <w:rsid w:val="00674AE5"/>
    <w:rsid w:val="00674B42"/>
    <w:rsid w:val="00674C77"/>
    <w:rsid w:val="00674D98"/>
    <w:rsid w:val="00675151"/>
    <w:rsid w:val="00675168"/>
    <w:rsid w:val="006752FD"/>
    <w:rsid w:val="00675332"/>
    <w:rsid w:val="0067566B"/>
    <w:rsid w:val="00675727"/>
    <w:rsid w:val="00675770"/>
    <w:rsid w:val="0067577E"/>
    <w:rsid w:val="0067597F"/>
    <w:rsid w:val="00675A0F"/>
    <w:rsid w:val="00675A11"/>
    <w:rsid w:val="00675A3F"/>
    <w:rsid w:val="00675B37"/>
    <w:rsid w:val="00675B65"/>
    <w:rsid w:val="00675BBA"/>
    <w:rsid w:val="00675D43"/>
    <w:rsid w:val="00676248"/>
    <w:rsid w:val="00676272"/>
    <w:rsid w:val="00676363"/>
    <w:rsid w:val="00676594"/>
    <w:rsid w:val="006766C2"/>
    <w:rsid w:val="0067677D"/>
    <w:rsid w:val="006767AD"/>
    <w:rsid w:val="0067682D"/>
    <w:rsid w:val="00676837"/>
    <w:rsid w:val="0067683E"/>
    <w:rsid w:val="00676875"/>
    <w:rsid w:val="00676916"/>
    <w:rsid w:val="00676A13"/>
    <w:rsid w:val="00676AC7"/>
    <w:rsid w:val="00676B9B"/>
    <w:rsid w:val="00676C23"/>
    <w:rsid w:val="00676CAA"/>
    <w:rsid w:val="00676DA8"/>
    <w:rsid w:val="00676E0B"/>
    <w:rsid w:val="00676EAC"/>
    <w:rsid w:val="00676F4A"/>
    <w:rsid w:val="006770AA"/>
    <w:rsid w:val="006770FF"/>
    <w:rsid w:val="006772DD"/>
    <w:rsid w:val="006772EA"/>
    <w:rsid w:val="006774A0"/>
    <w:rsid w:val="006774D5"/>
    <w:rsid w:val="0067759D"/>
    <w:rsid w:val="00677699"/>
    <w:rsid w:val="006777F8"/>
    <w:rsid w:val="006778CB"/>
    <w:rsid w:val="006779BA"/>
    <w:rsid w:val="006779C9"/>
    <w:rsid w:val="00677C39"/>
    <w:rsid w:val="00677F5E"/>
    <w:rsid w:val="00680007"/>
    <w:rsid w:val="006800B5"/>
    <w:rsid w:val="0068018C"/>
    <w:rsid w:val="00680256"/>
    <w:rsid w:val="00680273"/>
    <w:rsid w:val="00680321"/>
    <w:rsid w:val="00680554"/>
    <w:rsid w:val="00680581"/>
    <w:rsid w:val="00680757"/>
    <w:rsid w:val="00680840"/>
    <w:rsid w:val="006809E3"/>
    <w:rsid w:val="00680AAB"/>
    <w:rsid w:val="00680BCE"/>
    <w:rsid w:val="00680C4C"/>
    <w:rsid w:val="00680D43"/>
    <w:rsid w:val="00680D92"/>
    <w:rsid w:val="00680E1D"/>
    <w:rsid w:val="00680F38"/>
    <w:rsid w:val="00680F8F"/>
    <w:rsid w:val="0068121A"/>
    <w:rsid w:val="0068123D"/>
    <w:rsid w:val="006813A0"/>
    <w:rsid w:val="006813B5"/>
    <w:rsid w:val="0068141B"/>
    <w:rsid w:val="006816A2"/>
    <w:rsid w:val="00681721"/>
    <w:rsid w:val="00681806"/>
    <w:rsid w:val="00681862"/>
    <w:rsid w:val="006818E6"/>
    <w:rsid w:val="00681A01"/>
    <w:rsid w:val="00681A53"/>
    <w:rsid w:val="00681AB1"/>
    <w:rsid w:val="00681B61"/>
    <w:rsid w:val="00681DBB"/>
    <w:rsid w:val="00681F64"/>
    <w:rsid w:val="00681FD8"/>
    <w:rsid w:val="0068200E"/>
    <w:rsid w:val="00682160"/>
    <w:rsid w:val="00682231"/>
    <w:rsid w:val="006822B3"/>
    <w:rsid w:val="006822E0"/>
    <w:rsid w:val="00682390"/>
    <w:rsid w:val="00682468"/>
    <w:rsid w:val="0068249C"/>
    <w:rsid w:val="006824DD"/>
    <w:rsid w:val="0068260C"/>
    <w:rsid w:val="006827FB"/>
    <w:rsid w:val="0068292A"/>
    <w:rsid w:val="00682A6B"/>
    <w:rsid w:val="00682B14"/>
    <w:rsid w:val="00682BCE"/>
    <w:rsid w:val="00682BDA"/>
    <w:rsid w:val="00682DB1"/>
    <w:rsid w:val="00682DCB"/>
    <w:rsid w:val="00682E34"/>
    <w:rsid w:val="006830C1"/>
    <w:rsid w:val="00683167"/>
    <w:rsid w:val="006832B1"/>
    <w:rsid w:val="0068332C"/>
    <w:rsid w:val="006839D9"/>
    <w:rsid w:val="00683C5E"/>
    <w:rsid w:val="00683DB3"/>
    <w:rsid w:val="00683DE0"/>
    <w:rsid w:val="00683F6F"/>
    <w:rsid w:val="00683F93"/>
    <w:rsid w:val="00683FA5"/>
    <w:rsid w:val="006842B8"/>
    <w:rsid w:val="006843DF"/>
    <w:rsid w:val="00684517"/>
    <w:rsid w:val="0068453B"/>
    <w:rsid w:val="006845C7"/>
    <w:rsid w:val="0068468A"/>
    <w:rsid w:val="00684864"/>
    <w:rsid w:val="00684880"/>
    <w:rsid w:val="00684950"/>
    <w:rsid w:val="006849BD"/>
    <w:rsid w:val="00684B32"/>
    <w:rsid w:val="00684DC5"/>
    <w:rsid w:val="00684F9B"/>
    <w:rsid w:val="00685094"/>
    <w:rsid w:val="00685144"/>
    <w:rsid w:val="00685720"/>
    <w:rsid w:val="00685904"/>
    <w:rsid w:val="0068598F"/>
    <w:rsid w:val="00685AE5"/>
    <w:rsid w:val="00685B68"/>
    <w:rsid w:val="00685CC9"/>
    <w:rsid w:val="00685E0D"/>
    <w:rsid w:val="00685F0D"/>
    <w:rsid w:val="006860DC"/>
    <w:rsid w:val="00686212"/>
    <w:rsid w:val="0068625E"/>
    <w:rsid w:val="0068633A"/>
    <w:rsid w:val="00686419"/>
    <w:rsid w:val="00686523"/>
    <w:rsid w:val="00686557"/>
    <w:rsid w:val="00686674"/>
    <w:rsid w:val="006866B7"/>
    <w:rsid w:val="00686735"/>
    <w:rsid w:val="00686799"/>
    <w:rsid w:val="00686A6A"/>
    <w:rsid w:val="00686D7F"/>
    <w:rsid w:val="00686E6B"/>
    <w:rsid w:val="00686EE9"/>
    <w:rsid w:val="00687052"/>
    <w:rsid w:val="006870D1"/>
    <w:rsid w:val="00687182"/>
    <w:rsid w:val="0068724C"/>
    <w:rsid w:val="0068726C"/>
    <w:rsid w:val="006873B8"/>
    <w:rsid w:val="006873C0"/>
    <w:rsid w:val="00687458"/>
    <w:rsid w:val="00687528"/>
    <w:rsid w:val="006876F0"/>
    <w:rsid w:val="006877C6"/>
    <w:rsid w:val="0068798F"/>
    <w:rsid w:val="00687ABC"/>
    <w:rsid w:val="00687BAD"/>
    <w:rsid w:val="00687C8C"/>
    <w:rsid w:val="00687CA6"/>
    <w:rsid w:val="00687CF9"/>
    <w:rsid w:val="00687E0F"/>
    <w:rsid w:val="00687F81"/>
    <w:rsid w:val="006900B7"/>
    <w:rsid w:val="0069011E"/>
    <w:rsid w:val="00690135"/>
    <w:rsid w:val="00690266"/>
    <w:rsid w:val="006902A6"/>
    <w:rsid w:val="00690342"/>
    <w:rsid w:val="00690461"/>
    <w:rsid w:val="006905DC"/>
    <w:rsid w:val="006907E7"/>
    <w:rsid w:val="006908B9"/>
    <w:rsid w:val="00690994"/>
    <w:rsid w:val="006909BD"/>
    <w:rsid w:val="00690A29"/>
    <w:rsid w:val="00690C29"/>
    <w:rsid w:val="00690D51"/>
    <w:rsid w:val="00690D8C"/>
    <w:rsid w:val="00690DA7"/>
    <w:rsid w:val="00690E2C"/>
    <w:rsid w:val="00690EA3"/>
    <w:rsid w:val="0069106F"/>
    <w:rsid w:val="006912DC"/>
    <w:rsid w:val="006912FB"/>
    <w:rsid w:val="006913E8"/>
    <w:rsid w:val="00691675"/>
    <w:rsid w:val="00691726"/>
    <w:rsid w:val="0069174F"/>
    <w:rsid w:val="00691878"/>
    <w:rsid w:val="0069193A"/>
    <w:rsid w:val="00691945"/>
    <w:rsid w:val="0069197A"/>
    <w:rsid w:val="00691AEE"/>
    <w:rsid w:val="00691B77"/>
    <w:rsid w:val="00691BAA"/>
    <w:rsid w:val="00691C4C"/>
    <w:rsid w:val="00691F24"/>
    <w:rsid w:val="00691F37"/>
    <w:rsid w:val="0069204E"/>
    <w:rsid w:val="00692054"/>
    <w:rsid w:val="006921E3"/>
    <w:rsid w:val="006922E8"/>
    <w:rsid w:val="00692566"/>
    <w:rsid w:val="006926AE"/>
    <w:rsid w:val="006926F7"/>
    <w:rsid w:val="0069287F"/>
    <w:rsid w:val="00692995"/>
    <w:rsid w:val="00692ACB"/>
    <w:rsid w:val="00692CA7"/>
    <w:rsid w:val="00692CCE"/>
    <w:rsid w:val="006930F4"/>
    <w:rsid w:val="00693161"/>
    <w:rsid w:val="006932D8"/>
    <w:rsid w:val="006933B0"/>
    <w:rsid w:val="0069353B"/>
    <w:rsid w:val="00693662"/>
    <w:rsid w:val="006936C6"/>
    <w:rsid w:val="0069374F"/>
    <w:rsid w:val="006938FB"/>
    <w:rsid w:val="00693C2F"/>
    <w:rsid w:val="00693C80"/>
    <w:rsid w:val="00693F6F"/>
    <w:rsid w:val="00694066"/>
    <w:rsid w:val="0069419F"/>
    <w:rsid w:val="006941BC"/>
    <w:rsid w:val="0069460B"/>
    <w:rsid w:val="006946B9"/>
    <w:rsid w:val="0069472F"/>
    <w:rsid w:val="0069478C"/>
    <w:rsid w:val="006947E7"/>
    <w:rsid w:val="00694885"/>
    <w:rsid w:val="006949DD"/>
    <w:rsid w:val="00694A10"/>
    <w:rsid w:val="00694C69"/>
    <w:rsid w:val="00694DDB"/>
    <w:rsid w:val="00694E88"/>
    <w:rsid w:val="00694F4A"/>
    <w:rsid w:val="00694F85"/>
    <w:rsid w:val="00694FC5"/>
    <w:rsid w:val="006952DB"/>
    <w:rsid w:val="006953BA"/>
    <w:rsid w:val="006953C0"/>
    <w:rsid w:val="006955FD"/>
    <w:rsid w:val="006956EA"/>
    <w:rsid w:val="00695726"/>
    <w:rsid w:val="00695988"/>
    <w:rsid w:val="00695B63"/>
    <w:rsid w:val="00695CD0"/>
    <w:rsid w:val="00695DD5"/>
    <w:rsid w:val="00695EA7"/>
    <w:rsid w:val="0069616B"/>
    <w:rsid w:val="00696520"/>
    <w:rsid w:val="00696540"/>
    <w:rsid w:val="006966BF"/>
    <w:rsid w:val="00696700"/>
    <w:rsid w:val="00696985"/>
    <w:rsid w:val="00696BA4"/>
    <w:rsid w:val="00696C1F"/>
    <w:rsid w:val="00696C7F"/>
    <w:rsid w:val="00696CC0"/>
    <w:rsid w:val="00696CDF"/>
    <w:rsid w:val="00696D9F"/>
    <w:rsid w:val="00696EE2"/>
    <w:rsid w:val="00696F60"/>
    <w:rsid w:val="00696F7E"/>
    <w:rsid w:val="00697281"/>
    <w:rsid w:val="006973CD"/>
    <w:rsid w:val="006973ED"/>
    <w:rsid w:val="00697434"/>
    <w:rsid w:val="00697494"/>
    <w:rsid w:val="006974B0"/>
    <w:rsid w:val="006974E6"/>
    <w:rsid w:val="00697518"/>
    <w:rsid w:val="0069764B"/>
    <w:rsid w:val="00697720"/>
    <w:rsid w:val="00697741"/>
    <w:rsid w:val="00697932"/>
    <w:rsid w:val="0069796B"/>
    <w:rsid w:val="006979DB"/>
    <w:rsid w:val="00697AD1"/>
    <w:rsid w:val="00697B29"/>
    <w:rsid w:val="00697BB5"/>
    <w:rsid w:val="00697CA6"/>
    <w:rsid w:val="00697EE3"/>
    <w:rsid w:val="00697F21"/>
    <w:rsid w:val="006A0003"/>
    <w:rsid w:val="006A005E"/>
    <w:rsid w:val="006A0098"/>
    <w:rsid w:val="006A00A9"/>
    <w:rsid w:val="006A013B"/>
    <w:rsid w:val="006A015A"/>
    <w:rsid w:val="006A026C"/>
    <w:rsid w:val="006A034D"/>
    <w:rsid w:val="006A0395"/>
    <w:rsid w:val="006A045C"/>
    <w:rsid w:val="006A076E"/>
    <w:rsid w:val="006A078F"/>
    <w:rsid w:val="006A07EF"/>
    <w:rsid w:val="006A0A12"/>
    <w:rsid w:val="006A0CDA"/>
    <w:rsid w:val="006A0D1F"/>
    <w:rsid w:val="006A0DFF"/>
    <w:rsid w:val="006A0F34"/>
    <w:rsid w:val="006A0F5A"/>
    <w:rsid w:val="006A1038"/>
    <w:rsid w:val="006A1194"/>
    <w:rsid w:val="006A11DA"/>
    <w:rsid w:val="006A12F6"/>
    <w:rsid w:val="006A1522"/>
    <w:rsid w:val="006A1624"/>
    <w:rsid w:val="006A169A"/>
    <w:rsid w:val="006A16D1"/>
    <w:rsid w:val="006A1770"/>
    <w:rsid w:val="006A1957"/>
    <w:rsid w:val="006A1B9F"/>
    <w:rsid w:val="006A1CF4"/>
    <w:rsid w:val="006A1D05"/>
    <w:rsid w:val="006A1DA9"/>
    <w:rsid w:val="006A1DCA"/>
    <w:rsid w:val="006A1FDE"/>
    <w:rsid w:val="006A22CA"/>
    <w:rsid w:val="006A240D"/>
    <w:rsid w:val="006A2489"/>
    <w:rsid w:val="006A24D4"/>
    <w:rsid w:val="006A26B9"/>
    <w:rsid w:val="006A26C4"/>
    <w:rsid w:val="006A273D"/>
    <w:rsid w:val="006A28C5"/>
    <w:rsid w:val="006A2919"/>
    <w:rsid w:val="006A29E4"/>
    <w:rsid w:val="006A2A8D"/>
    <w:rsid w:val="006A2C2F"/>
    <w:rsid w:val="006A2CAF"/>
    <w:rsid w:val="006A2D2D"/>
    <w:rsid w:val="006A2DE9"/>
    <w:rsid w:val="006A3034"/>
    <w:rsid w:val="006A31FD"/>
    <w:rsid w:val="006A322E"/>
    <w:rsid w:val="006A325C"/>
    <w:rsid w:val="006A32EA"/>
    <w:rsid w:val="006A331A"/>
    <w:rsid w:val="006A3345"/>
    <w:rsid w:val="006A35B4"/>
    <w:rsid w:val="006A35FD"/>
    <w:rsid w:val="006A362B"/>
    <w:rsid w:val="006A36D6"/>
    <w:rsid w:val="006A37BC"/>
    <w:rsid w:val="006A3810"/>
    <w:rsid w:val="006A3CAD"/>
    <w:rsid w:val="006A3E28"/>
    <w:rsid w:val="006A3F82"/>
    <w:rsid w:val="006A3F94"/>
    <w:rsid w:val="006A3FAC"/>
    <w:rsid w:val="006A3FB6"/>
    <w:rsid w:val="006A3FE5"/>
    <w:rsid w:val="006A4249"/>
    <w:rsid w:val="006A42AC"/>
    <w:rsid w:val="006A42ED"/>
    <w:rsid w:val="006A4333"/>
    <w:rsid w:val="006A4347"/>
    <w:rsid w:val="006A45A5"/>
    <w:rsid w:val="006A45E4"/>
    <w:rsid w:val="006A45F0"/>
    <w:rsid w:val="006A46AC"/>
    <w:rsid w:val="006A4914"/>
    <w:rsid w:val="006A495F"/>
    <w:rsid w:val="006A4AB0"/>
    <w:rsid w:val="006A4B0A"/>
    <w:rsid w:val="006A4C70"/>
    <w:rsid w:val="006A4D9A"/>
    <w:rsid w:val="006A4DD8"/>
    <w:rsid w:val="006A4E97"/>
    <w:rsid w:val="006A4F52"/>
    <w:rsid w:val="006A4FA5"/>
    <w:rsid w:val="006A4FF9"/>
    <w:rsid w:val="006A51AD"/>
    <w:rsid w:val="006A528D"/>
    <w:rsid w:val="006A5359"/>
    <w:rsid w:val="006A53CD"/>
    <w:rsid w:val="006A55AC"/>
    <w:rsid w:val="006A55BD"/>
    <w:rsid w:val="006A5651"/>
    <w:rsid w:val="006A574F"/>
    <w:rsid w:val="006A5909"/>
    <w:rsid w:val="006A59B0"/>
    <w:rsid w:val="006A59D8"/>
    <w:rsid w:val="006A5A73"/>
    <w:rsid w:val="006A5BA7"/>
    <w:rsid w:val="006A5D71"/>
    <w:rsid w:val="006A5F06"/>
    <w:rsid w:val="006A5FD7"/>
    <w:rsid w:val="006A6214"/>
    <w:rsid w:val="006A622B"/>
    <w:rsid w:val="006A62F5"/>
    <w:rsid w:val="006A63B0"/>
    <w:rsid w:val="006A65E6"/>
    <w:rsid w:val="006A6709"/>
    <w:rsid w:val="006A684C"/>
    <w:rsid w:val="006A6A37"/>
    <w:rsid w:val="006A6A6B"/>
    <w:rsid w:val="006A6A7C"/>
    <w:rsid w:val="006A6B60"/>
    <w:rsid w:val="006A6CA1"/>
    <w:rsid w:val="006A6D8E"/>
    <w:rsid w:val="006A6E38"/>
    <w:rsid w:val="006A6F18"/>
    <w:rsid w:val="006A6FE0"/>
    <w:rsid w:val="006A708C"/>
    <w:rsid w:val="006A70AF"/>
    <w:rsid w:val="006A7262"/>
    <w:rsid w:val="006A7295"/>
    <w:rsid w:val="006A72AA"/>
    <w:rsid w:val="006A733B"/>
    <w:rsid w:val="006A7366"/>
    <w:rsid w:val="006A7452"/>
    <w:rsid w:val="006A7786"/>
    <w:rsid w:val="006A77B7"/>
    <w:rsid w:val="006A7912"/>
    <w:rsid w:val="006A79BE"/>
    <w:rsid w:val="006A7A4E"/>
    <w:rsid w:val="006A7BBE"/>
    <w:rsid w:val="006A7D11"/>
    <w:rsid w:val="006A7D88"/>
    <w:rsid w:val="006B0075"/>
    <w:rsid w:val="006B0228"/>
    <w:rsid w:val="006B0383"/>
    <w:rsid w:val="006B03BA"/>
    <w:rsid w:val="006B03C4"/>
    <w:rsid w:val="006B0563"/>
    <w:rsid w:val="006B0642"/>
    <w:rsid w:val="006B065F"/>
    <w:rsid w:val="006B08A2"/>
    <w:rsid w:val="006B08A8"/>
    <w:rsid w:val="006B0AA9"/>
    <w:rsid w:val="006B0C54"/>
    <w:rsid w:val="006B0F40"/>
    <w:rsid w:val="006B0F6B"/>
    <w:rsid w:val="006B11C5"/>
    <w:rsid w:val="006B1364"/>
    <w:rsid w:val="006B13E0"/>
    <w:rsid w:val="006B14E3"/>
    <w:rsid w:val="006B181E"/>
    <w:rsid w:val="006B18EF"/>
    <w:rsid w:val="006B1A13"/>
    <w:rsid w:val="006B1B8E"/>
    <w:rsid w:val="006B1C2E"/>
    <w:rsid w:val="006B1CBD"/>
    <w:rsid w:val="006B211E"/>
    <w:rsid w:val="006B2434"/>
    <w:rsid w:val="006B247E"/>
    <w:rsid w:val="006B253F"/>
    <w:rsid w:val="006B2755"/>
    <w:rsid w:val="006B28AE"/>
    <w:rsid w:val="006B29D5"/>
    <w:rsid w:val="006B2A80"/>
    <w:rsid w:val="006B2A9E"/>
    <w:rsid w:val="006B2B56"/>
    <w:rsid w:val="006B2BA6"/>
    <w:rsid w:val="006B2BF0"/>
    <w:rsid w:val="006B2C2B"/>
    <w:rsid w:val="006B2E52"/>
    <w:rsid w:val="006B2EB2"/>
    <w:rsid w:val="006B2F1F"/>
    <w:rsid w:val="006B320D"/>
    <w:rsid w:val="006B337B"/>
    <w:rsid w:val="006B33B5"/>
    <w:rsid w:val="006B340F"/>
    <w:rsid w:val="006B36D2"/>
    <w:rsid w:val="006B3755"/>
    <w:rsid w:val="006B38DE"/>
    <w:rsid w:val="006B3C27"/>
    <w:rsid w:val="006B3C2B"/>
    <w:rsid w:val="006B3DB5"/>
    <w:rsid w:val="006B3ED3"/>
    <w:rsid w:val="006B4084"/>
    <w:rsid w:val="006B4151"/>
    <w:rsid w:val="006B41A9"/>
    <w:rsid w:val="006B41C5"/>
    <w:rsid w:val="006B422C"/>
    <w:rsid w:val="006B43F4"/>
    <w:rsid w:val="006B440A"/>
    <w:rsid w:val="006B4418"/>
    <w:rsid w:val="006B447A"/>
    <w:rsid w:val="006B4533"/>
    <w:rsid w:val="006B4587"/>
    <w:rsid w:val="006B46F2"/>
    <w:rsid w:val="006B4869"/>
    <w:rsid w:val="006B4978"/>
    <w:rsid w:val="006B4A07"/>
    <w:rsid w:val="006B4AA4"/>
    <w:rsid w:val="006B4B00"/>
    <w:rsid w:val="006B4B69"/>
    <w:rsid w:val="006B4CB9"/>
    <w:rsid w:val="006B4CE7"/>
    <w:rsid w:val="006B4DD6"/>
    <w:rsid w:val="006B4F18"/>
    <w:rsid w:val="006B5063"/>
    <w:rsid w:val="006B5182"/>
    <w:rsid w:val="006B5183"/>
    <w:rsid w:val="006B5202"/>
    <w:rsid w:val="006B52FD"/>
    <w:rsid w:val="006B5578"/>
    <w:rsid w:val="006B5592"/>
    <w:rsid w:val="006B5599"/>
    <w:rsid w:val="006B55EE"/>
    <w:rsid w:val="006B5678"/>
    <w:rsid w:val="006B57A8"/>
    <w:rsid w:val="006B5D09"/>
    <w:rsid w:val="006B5D88"/>
    <w:rsid w:val="006B5F11"/>
    <w:rsid w:val="006B5F4C"/>
    <w:rsid w:val="006B6089"/>
    <w:rsid w:val="006B6134"/>
    <w:rsid w:val="006B61CF"/>
    <w:rsid w:val="006B63B3"/>
    <w:rsid w:val="006B645E"/>
    <w:rsid w:val="006B64DB"/>
    <w:rsid w:val="006B6530"/>
    <w:rsid w:val="006B660F"/>
    <w:rsid w:val="006B6624"/>
    <w:rsid w:val="006B666F"/>
    <w:rsid w:val="006B66E5"/>
    <w:rsid w:val="006B66E8"/>
    <w:rsid w:val="006B6875"/>
    <w:rsid w:val="006B68B3"/>
    <w:rsid w:val="006B6A06"/>
    <w:rsid w:val="006B6C6A"/>
    <w:rsid w:val="006B6CBE"/>
    <w:rsid w:val="006B6D49"/>
    <w:rsid w:val="006B6D83"/>
    <w:rsid w:val="006B6E37"/>
    <w:rsid w:val="006B6EEE"/>
    <w:rsid w:val="006B6F10"/>
    <w:rsid w:val="006B6FED"/>
    <w:rsid w:val="006B707D"/>
    <w:rsid w:val="006B70DD"/>
    <w:rsid w:val="006B7111"/>
    <w:rsid w:val="006B749F"/>
    <w:rsid w:val="006B763D"/>
    <w:rsid w:val="006B7721"/>
    <w:rsid w:val="006B784A"/>
    <w:rsid w:val="006B7955"/>
    <w:rsid w:val="006B7A2E"/>
    <w:rsid w:val="006B7A3B"/>
    <w:rsid w:val="006B7BAF"/>
    <w:rsid w:val="006B7D19"/>
    <w:rsid w:val="006B7F02"/>
    <w:rsid w:val="006B7F1F"/>
    <w:rsid w:val="006B7F52"/>
    <w:rsid w:val="006C0132"/>
    <w:rsid w:val="006C0164"/>
    <w:rsid w:val="006C0182"/>
    <w:rsid w:val="006C0192"/>
    <w:rsid w:val="006C028F"/>
    <w:rsid w:val="006C03B1"/>
    <w:rsid w:val="006C04B6"/>
    <w:rsid w:val="006C0577"/>
    <w:rsid w:val="006C0680"/>
    <w:rsid w:val="006C071B"/>
    <w:rsid w:val="006C08FB"/>
    <w:rsid w:val="006C0953"/>
    <w:rsid w:val="006C0959"/>
    <w:rsid w:val="006C09DD"/>
    <w:rsid w:val="006C0A2D"/>
    <w:rsid w:val="006C0B10"/>
    <w:rsid w:val="006C0B20"/>
    <w:rsid w:val="006C0C96"/>
    <w:rsid w:val="006C0D95"/>
    <w:rsid w:val="006C106D"/>
    <w:rsid w:val="006C10D3"/>
    <w:rsid w:val="006C1100"/>
    <w:rsid w:val="006C1173"/>
    <w:rsid w:val="006C12EA"/>
    <w:rsid w:val="006C147E"/>
    <w:rsid w:val="006C17A8"/>
    <w:rsid w:val="006C1808"/>
    <w:rsid w:val="006C1819"/>
    <w:rsid w:val="006C1945"/>
    <w:rsid w:val="006C198F"/>
    <w:rsid w:val="006C1996"/>
    <w:rsid w:val="006C1A0C"/>
    <w:rsid w:val="006C1AF0"/>
    <w:rsid w:val="006C1B9B"/>
    <w:rsid w:val="006C1D27"/>
    <w:rsid w:val="006C1DF7"/>
    <w:rsid w:val="006C2114"/>
    <w:rsid w:val="006C2215"/>
    <w:rsid w:val="006C22D2"/>
    <w:rsid w:val="006C22D7"/>
    <w:rsid w:val="006C232D"/>
    <w:rsid w:val="006C2435"/>
    <w:rsid w:val="006C2504"/>
    <w:rsid w:val="006C25EF"/>
    <w:rsid w:val="006C260C"/>
    <w:rsid w:val="006C26C4"/>
    <w:rsid w:val="006C288B"/>
    <w:rsid w:val="006C2A7C"/>
    <w:rsid w:val="006C2B80"/>
    <w:rsid w:val="006C2C7E"/>
    <w:rsid w:val="006C2D32"/>
    <w:rsid w:val="006C2DBD"/>
    <w:rsid w:val="006C2DE7"/>
    <w:rsid w:val="006C2DEE"/>
    <w:rsid w:val="006C2DF4"/>
    <w:rsid w:val="006C2E79"/>
    <w:rsid w:val="006C2E98"/>
    <w:rsid w:val="006C301C"/>
    <w:rsid w:val="006C3074"/>
    <w:rsid w:val="006C30E8"/>
    <w:rsid w:val="006C30EE"/>
    <w:rsid w:val="006C32F1"/>
    <w:rsid w:val="006C332E"/>
    <w:rsid w:val="006C33C5"/>
    <w:rsid w:val="006C33EB"/>
    <w:rsid w:val="006C345E"/>
    <w:rsid w:val="006C357B"/>
    <w:rsid w:val="006C3634"/>
    <w:rsid w:val="006C3665"/>
    <w:rsid w:val="006C37B7"/>
    <w:rsid w:val="006C3968"/>
    <w:rsid w:val="006C3B09"/>
    <w:rsid w:val="006C3C12"/>
    <w:rsid w:val="006C3D37"/>
    <w:rsid w:val="006C3D91"/>
    <w:rsid w:val="006C3EED"/>
    <w:rsid w:val="006C3EFA"/>
    <w:rsid w:val="006C3F77"/>
    <w:rsid w:val="006C4194"/>
    <w:rsid w:val="006C421B"/>
    <w:rsid w:val="006C4287"/>
    <w:rsid w:val="006C438F"/>
    <w:rsid w:val="006C43AD"/>
    <w:rsid w:val="006C4490"/>
    <w:rsid w:val="006C4567"/>
    <w:rsid w:val="006C46E8"/>
    <w:rsid w:val="006C47A2"/>
    <w:rsid w:val="006C4804"/>
    <w:rsid w:val="006C4979"/>
    <w:rsid w:val="006C4C6F"/>
    <w:rsid w:val="006C4DBD"/>
    <w:rsid w:val="006C4E64"/>
    <w:rsid w:val="006C4F7B"/>
    <w:rsid w:val="006C5048"/>
    <w:rsid w:val="006C50FF"/>
    <w:rsid w:val="006C518F"/>
    <w:rsid w:val="006C5274"/>
    <w:rsid w:val="006C52F4"/>
    <w:rsid w:val="006C53BD"/>
    <w:rsid w:val="006C576C"/>
    <w:rsid w:val="006C582E"/>
    <w:rsid w:val="006C5845"/>
    <w:rsid w:val="006C589F"/>
    <w:rsid w:val="006C5916"/>
    <w:rsid w:val="006C5B60"/>
    <w:rsid w:val="006C5F62"/>
    <w:rsid w:val="006C61FA"/>
    <w:rsid w:val="006C61FE"/>
    <w:rsid w:val="006C6572"/>
    <w:rsid w:val="006C65AB"/>
    <w:rsid w:val="006C66C3"/>
    <w:rsid w:val="006C6781"/>
    <w:rsid w:val="006C67E7"/>
    <w:rsid w:val="006C6847"/>
    <w:rsid w:val="006C6937"/>
    <w:rsid w:val="006C69D7"/>
    <w:rsid w:val="006C6AB3"/>
    <w:rsid w:val="006C6AB6"/>
    <w:rsid w:val="006C6B6A"/>
    <w:rsid w:val="006C6CCB"/>
    <w:rsid w:val="006C6D95"/>
    <w:rsid w:val="006C6EA1"/>
    <w:rsid w:val="006C6F1A"/>
    <w:rsid w:val="006C700B"/>
    <w:rsid w:val="006C7145"/>
    <w:rsid w:val="006C72EE"/>
    <w:rsid w:val="006C733F"/>
    <w:rsid w:val="006C742F"/>
    <w:rsid w:val="006C7452"/>
    <w:rsid w:val="006C75A0"/>
    <w:rsid w:val="006C761B"/>
    <w:rsid w:val="006C76C8"/>
    <w:rsid w:val="006C76F1"/>
    <w:rsid w:val="006C76FE"/>
    <w:rsid w:val="006C7700"/>
    <w:rsid w:val="006C7864"/>
    <w:rsid w:val="006C7880"/>
    <w:rsid w:val="006C7952"/>
    <w:rsid w:val="006C7B71"/>
    <w:rsid w:val="006C7C03"/>
    <w:rsid w:val="006C7C15"/>
    <w:rsid w:val="006C7E9B"/>
    <w:rsid w:val="006C7FA3"/>
    <w:rsid w:val="006D029C"/>
    <w:rsid w:val="006D05A0"/>
    <w:rsid w:val="006D0717"/>
    <w:rsid w:val="006D0728"/>
    <w:rsid w:val="006D07C9"/>
    <w:rsid w:val="006D07D7"/>
    <w:rsid w:val="006D088A"/>
    <w:rsid w:val="006D0928"/>
    <w:rsid w:val="006D0AB6"/>
    <w:rsid w:val="006D0B2D"/>
    <w:rsid w:val="006D0E24"/>
    <w:rsid w:val="006D10BD"/>
    <w:rsid w:val="006D16A6"/>
    <w:rsid w:val="006D1960"/>
    <w:rsid w:val="006D1A23"/>
    <w:rsid w:val="006D1A27"/>
    <w:rsid w:val="006D1ABC"/>
    <w:rsid w:val="006D1AC3"/>
    <w:rsid w:val="006D1CD8"/>
    <w:rsid w:val="006D1D75"/>
    <w:rsid w:val="006D1DA3"/>
    <w:rsid w:val="006D1E31"/>
    <w:rsid w:val="006D1EFA"/>
    <w:rsid w:val="006D21FC"/>
    <w:rsid w:val="006D221D"/>
    <w:rsid w:val="006D228C"/>
    <w:rsid w:val="006D2436"/>
    <w:rsid w:val="006D2493"/>
    <w:rsid w:val="006D24A5"/>
    <w:rsid w:val="006D261E"/>
    <w:rsid w:val="006D27C1"/>
    <w:rsid w:val="006D2A20"/>
    <w:rsid w:val="006D2C5F"/>
    <w:rsid w:val="006D2CE2"/>
    <w:rsid w:val="006D2D43"/>
    <w:rsid w:val="006D2D7E"/>
    <w:rsid w:val="006D2F0E"/>
    <w:rsid w:val="006D2FB0"/>
    <w:rsid w:val="006D2FEF"/>
    <w:rsid w:val="006D30CF"/>
    <w:rsid w:val="006D331A"/>
    <w:rsid w:val="006D34C7"/>
    <w:rsid w:val="006D350D"/>
    <w:rsid w:val="006D3578"/>
    <w:rsid w:val="006D363B"/>
    <w:rsid w:val="006D3673"/>
    <w:rsid w:val="006D3765"/>
    <w:rsid w:val="006D39C8"/>
    <w:rsid w:val="006D39F5"/>
    <w:rsid w:val="006D3B84"/>
    <w:rsid w:val="006D3CCD"/>
    <w:rsid w:val="006D3DB5"/>
    <w:rsid w:val="006D3DF7"/>
    <w:rsid w:val="006D3EFD"/>
    <w:rsid w:val="006D408A"/>
    <w:rsid w:val="006D41F3"/>
    <w:rsid w:val="006D4256"/>
    <w:rsid w:val="006D42E5"/>
    <w:rsid w:val="006D4307"/>
    <w:rsid w:val="006D46A4"/>
    <w:rsid w:val="006D47D9"/>
    <w:rsid w:val="006D47F4"/>
    <w:rsid w:val="006D48AE"/>
    <w:rsid w:val="006D49B8"/>
    <w:rsid w:val="006D4B54"/>
    <w:rsid w:val="006D4DBF"/>
    <w:rsid w:val="006D4E09"/>
    <w:rsid w:val="006D545D"/>
    <w:rsid w:val="006D5492"/>
    <w:rsid w:val="006D555D"/>
    <w:rsid w:val="006D55AF"/>
    <w:rsid w:val="006D5638"/>
    <w:rsid w:val="006D568C"/>
    <w:rsid w:val="006D57F4"/>
    <w:rsid w:val="006D59BC"/>
    <w:rsid w:val="006D5AC5"/>
    <w:rsid w:val="006D5AD2"/>
    <w:rsid w:val="006D5DC2"/>
    <w:rsid w:val="006D5E85"/>
    <w:rsid w:val="006D632C"/>
    <w:rsid w:val="006D63FB"/>
    <w:rsid w:val="006D654D"/>
    <w:rsid w:val="006D656F"/>
    <w:rsid w:val="006D6582"/>
    <w:rsid w:val="006D664C"/>
    <w:rsid w:val="006D673D"/>
    <w:rsid w:val="006D6851"/>
    <w:rsid w:val="006D6916"/>
    <w:rsid w:val="006D6917"/>
    <w:rsid w:val="006D6959"/>
    <w:rsid w:val="006D6A18"/>
    <w:rsid w:val="006D6B7B"/>
    <w:rsid w:val="006D6BDA"/>
    <w:rsid w:val="006D6C04"/>
    <w:rsid w:val="006D6C51"/>
    <w:rsid w:val="006D6D5E"/>
    <w:rsid w:val="006D6EDD"/>
    <w:rsid w:val="006D6F32"/>
    <w:rsid w:val="006D6F99"/>
    <w:rsid w:val="006D701F"/>
    <w:rsid w:val="006D7143"/>
    <w:rsid w:val="006D7178"/>
    <w:rsid w:val="006D7238"/>
    <w:rsid w:val="006D73B0"/>
    <w:rsid w:val="006D73C1"/>
    <w:rsid w:val="006D74E5"/>
    <w:rsid w:val="006D7505"/>
    <w:rsid w:val="006D756E"/>
    <w:rsid w:val="006D7636"/>
    <w:rsid w:val="006D76A1"/>
    <w:rsid w:val="006D7719"/>
    <w:rsid w:val="006D7AA7"/>
    <w:rsid w:val="006D7B41"/>
    <w:rsid w:val="006D7C13"/>
    <w:rsid w:val="006D7D09"/>
    <w:rsid w:val="006D7E59"/>
    <w:rsid w:val="006D7F15"/>
    <w:rsid w:val="006E00A8"/>
    <w:rsid w:val="006E00D4"/>
    <w:rsid w:val="006E0157"/>
    <w:rsid w:val="006E033A"/>
    <w:rsid w:val="006E042F"/>
    <w:rsid w:val="006E047F"/>
    <w:rsid w:val="006E05B4"/>
    <w:rsid w:val="006E0615"/>
    <w:rsid w:val="006E06CA"/>
    <w:rsid w:val="006E083E"/>
    <w:rsid w:val="006E097B"/>
    <w:rsid w:val="006E09D7"/>
    <w:rsid w:val="006E0A76"/>
    <w:rsid w:val="006E0AA9"/>
    <w:rsid w:val="006E0AB8"/>
    <w:rsid w:val="006E0B20"/>
    <w:rsid w:val="006E0D92"/>
    <w:rsid w:val="006E0EF4"/>
    <w:rsid w:val="006E1219"/>
    <w:rsid w:val="006E123E"/>
    <w:rsid w:val="006E1251"/>
    <w:rsid w:val="006E1409"/>
    <w:rsid w:val="006E1466"/>
    <w:rsid w:val="006E1688"/>
    <w:rsid w:val="006E19C2"/>
    <w:rsid w:val="006E1B80"/>
    <w:rsid w:val="006E1D8D"/>
    <w:rsid w:val="006E1DBB"/>
    <w:rsid w:val="006E2087"/>
    <w:rsid w:val="006E20EA"/>
    <w:rsid w:val="006E21E5"/>
    <w:rsid w:val="006E2282"/>
    <w:rsid w:val="006E249A"/>
    <w:rsid w:val="006E24BD"/>
    <w:rsid w:val="006E2550"/>
    <w:rsid w:val="006E26E6"/>
    <w:rsid w:val="006E26F4"/>
    <w:rsid w:val="006E26F7"/>
    <w:rsid w:val="006E2712"/>
    <w:rsid w:val="006E273D"/>
    <w:rsid w:val="006E29E7"/>
    <w:rsid w:val="006E2A74"/>
    <w:rsid w:val="006E2B6C"/>
    <w:rsid w:val="006E2FBE"/>
    <w:rsid w:val="006E303E"/>
    <w:rsid w:val="006E323B"/>
    <w:rsid w:val="006E33C9"/>
    <w:rsid w:val="006E3542"/>
    <w:rsid w:val="006E35D9"/>
    <w:rsid w:val="006E3993"/>
    <w:rsid w:val="006E39A6"/>
    <w:rsid w:val="006E3C68"/>
    <w:rsid w:val="006E3C96"/>
    <w:rsid w:val="006E3DF5"/>
    <w:rsid w:val="006E4147"/>
    <w:rsid w:val="006E42C2"/>
    <w:rsid w:val="006E42ED"/>
    <w:rsid w:val="006E4455"/>
    <w:rsid w:val="006E4466"/>
    <w:rsid w:val="006E4595"/>
    <w:rsid w:val="006E46B7"/>
    <w:rsid w:val="006E46EB"/>
    <w:rsid w:val="006E478A"/>
    <w:rsid w:val="006E4908"/>
    <w:rsid w:val="006E490E"/>
    <w:rsid w:val="006E4932"/>
    <w:rsid w:val="006E4974"/>
    <w:rsid w:val="006E4975"/>
    <w:rsid w:val="006E4A08"/>
    <w:rsid w:val="006E4A6E"/>
    <w:rsid w:val="006E4BFD"/>
    <w:rsid w:val="006E4C32"/>
    <w:rsid w:val="006E4C7D"/>
    <w:rsid w:val="006E4E7F"/>
    <w:rsid w:val="006E4FAA"/>
    <w:rsid w:val="006E5153"/>
    <w:rsid w:val="006E52CE"/>
    <w:rsid w:val="006E5350"/>
    <w:rsid w:val="006E5375"/>
    <w:rsid w:val="006E5504"/>
    <w:rsid w:val="006E55A7"/>
    <w:rsid w:val="006E5668"/>
    <w:rsid w:val="006E570A"/>
    <w:rsid w:val="006E59C2"/>
    <w:rsid w:val="006E5A92"/>
    <w:rsid w:val="006E5C89"/>
    <w:rsid w:val="006E5DFE"/>
    <w:rsid w:val="006E608E"/>
    <w:rsid w:val="006E6170"/>
    <w:rsid w:val="006E6188"/>
    <w:rsid w:val="006E61F1"/>
    <w:rsid w:val="006E62BC"/>
    <w:rsid w:val="006E6390"/>
    <w:rsid w:val="006E659C"/>
    <w:rsid w:val="006E664D"/>
    <w:rsid w:val="006E6663"/>
    <w:rsid w:val="006E68CC"/>
    <w:rsid w:val="006E6A69"/>
    <w:rsid w:val="006E6A72"/>
    <w:rsid w:val="006E6A73"/>
    <w:rsid w:val="006E6CAF"/>
    <w:rsid w:val="006E6E35"/>
    <w:rsid w:val="006E6E4C"/>
    <w:rsid w:val="006E6F83"/>
    <w:rsid w:val="006E7031"/>
    <w:rsid w:val="006E723E"/>
    <w:rsid w:val="006E7660"/>
    <w:rsid w:val="006E772E"/>
    <w:rsid w:val="006E7A9E"/>
    <w:rsid w:val="006E7C42"/>
    <w:rsid w:val="006E7CA0"/>
    <w:rsid w:val="006E7D91"/>
    <w:rsid w:val="006F0077"/>
    <w:rsid w:val="006F00CB"/>
    <w:rsid w:val="006F00E8"/>
    <w:rsid w:val="006F01A4"/>
    <w:rsid w:val="006F031D"/>
    <w:rsid w:val="006F034D"/>
    <w:rsid w:val="006F0414"/>
    <w:rsid w:val="006F0509"/>
    <w:rsid w:val="006F065F"/>
    <w:rsid w:val="006F066D"/>
    <w:rsid w:val="006F0705"/>
    <w:rsid w:val="006F0E1E"/>
    <w:rsid w:val="006F0E2A"/>
    <w:rsid w:val="006F0EF5"/>
    <w:rsid w:val="006F0F56"/>
    <w:rsid w:val="006F1179"/>
    <w:rsid w:val="006F1180"/>
    <w:rsid w:val="006F139E"/>
    <w:rsid w:val="006F148B"/>
    <w:rsid w:val="006F1543"/>
    <w:rsid w:val="006F17BB"/>
    <w:rsid w:val="006F1893"/>
    <w:rsid w:val="006F18CE"/>
    <w:rsid w:val="006F1D2C"/>
    <w:rsid w:val="006F1DDF"/>
    <w:rsid w:val="006F1E26"/>
    <w:rsid w:val="006F1EDB"/>
    <w:rsid w:val="006F1F71"/>
    <w:rsid w:val="006F1FCA"/>
    <w:rsid w:val="006F2117"/>
    <w:rsid w:val="006F2139"/>
    <w:rsid w:val="006F226D"/>
    <w:rsid w:val="006F22D9"/>
    <w:rsid w:val="006F231A"/>
    <w:rsid w:val="006F2569"/>
    <w:rsid w:val="006F259B"/>
    <w:rsid w:val="006F25E5"/>
    <w:rsid w:val="006F28A4"/>
    <w:rsid w:val="006F2995"/>
    <w:rsid w:val="006F29A5"/>
    <w:rsid w:val="006F29B4"/>
    <w:rsid w:val="006F2A1E"/>
    <w:rsid w:val="006F2B0A"/>
    <w:rsid w:val="006F2B6C"/>
    <w:rsid w:val="006F2D5F"/>
    <w:rsid w:val="006F2ECF"/>
    <w:rsid w:val="006F2F73"/>
    <w:rsid w:val="006F3093"/>
    <w:rsid w:val="006F329B"/>
    <w:rsid w:val="006F3375"/>
    <w:rsid w:val="006F33DC"/>
    <w:rsid w:val="006F34DE"/>
    <w:rsid w:val="006F35D4"/>
    <w:rsid w:val="006F362C"/>
    <w:rsid w:val="006F36EB"/>
    <w:rsid w:val="006F3739"/>
    <w:rsid w:val="006F376A"/>
    <w:rsid w:val="006F3810"/>
    <w:rsid w:val="006F3A97"/>
    <w:rsid w:val="006F3F0F"/>
    <w:rsid w:val="006F3F9F"/>
    <w:rsid w:val="006F40E6"/>
    <w:rsid w:val="006F4190"/>
    <w:rsid w:val="006F42AE"/>
    <w:rsid w:val="006F42D9"/>
    <w:rsid w:val="006F4362"/>
    <w:rsid w:val="006F44A8"/>
    <w:rsid w:val="006F44F6"/>
    <w:rsid w:val="006F4639"/>
    <w:rsid w:val="006F4671"/>
    <w:rsid w:val="006F46E7"/>
    <w:rsid w:val="006F4812"/>
    <w:rsid w:val="006F48C3"/>
    <w:rsid w:val="006F48CC"/>
    <w:rsid w:val="006F49E5"/>
    <w:rsid w:val="006F49ED"/>
    <w:rsid w:val="006F49F1"/>
    <w:rsid w:val="006F4C57"/>
    <w:rsid w:val="006F4CC4"/>
    <w:rsid w:val="006F4D01"/>
    <w:rsid w:val="006F4E52"/>
    <w:rsid w:val="006F4F25"/>
    <w:rsid w:val="006F565B"/>
    <w:rsid w:val="006F5734"/>
    <w:rsid w:val="006F59D3"/>
    <w:rsid w:val="006F5E08"/>
    <w:rsid w:val="006F5E7B"/>
    <w:rsid w:val="006F5F2C"/>
    <w:rsid w:val="006F6052"/>
    <w:rsid w:val="006F6272"/>
    <w:rsid w:val="006F62B1"/>
    <w:rsid w:val="006F62B4"/>
    <w:rsid w:val="006F64A2"/>
    <w:rsid w:val="006F661B"/>
    <w:rsid w:val="006F66E9"/>
    <w:rsid w:val="006F671E"/>
    <w:rsid w:val="006F6C22"/>
    <w:rsid w:val="006F6CF4"/>
    <w:rsid w:val="006F6F62"/>
    <w:rsid w:val="006F703D"/>
    <w:rsid w:val="006F70EF"/>
    <w:rsid w:val="006F7105"/>
    <w:rsid w:val="006F71C8"/>
    <w:rsid w:val="006F7272"/>
    <w:rsid w:val="006F7363"/>
    <w:rsid w:val="006F7448"/>
    <w:rsid w:val="006F745E"/>
    <w:rsid w:val="006F7532"/>
    <w:rsid w:val="006F75F1"/>
    <w:rsid w:val="006F765A"/>
    <w:rsid w:val="006F76AF"/>
    <w:rsid w:val="006F7710"/>
    <w:rsid w:val="006F7824"/>
    <w:rsid w:val="006F7884"/>
    <w:rsid w:val="006F78E6"/>
    <w:rsid w:val="006F7A99"/>
    <w:rsid w:val="006F7C8E"/>
    <w:rsid w:val="006F7E17"/>
    <w:rsid w:val="006F7EEC"/>
    <w:rsid w:val="00700046"/>
    <w:rsid w:val="0070015B"/>
    <w:rsid w:val="0070019A"/>
    <w:rsid w:val="00700215"/>
    <w:rsid w:val="0070029B"/>
    <w:rsid w:val="00700337"/>
    <w:rsid w:val="00700554"/>
    <w:rsid w:val="007005E5"/>
    <w:rsid w:val="0070068D"/>
    <w:rsid w:val="007006C1"/>
    <w:rsid w:val="007007D3"/>
    <w:rsid w:val="0070090F"/>
    <w:rsid w:val="0070091F"/>
    <w:rsid w:val="00700A25"/>
    <w:rsid w:val="00700B25"/>
    <w:rsid w:val="00700D5C"/>
    <w:rsid w:val="00700E91"/>
    <w:rsid w:val="007010D4"/>
    <w:rsid w:val="00701170"/>
    <w:rsid w:val="007012BF"/>
    <w:rsid w:val="007012DF"/>
    <w:rsid w:val="0070153C"/>
    <w:rsid w:val="00701619"/>
    <w:rsid w:val="00701859"/>
    <w:rsid w:val="007018AD"/>
    <w:rsid w:val="00701981"/>
    <w:rsid w:val="007019A2"/>
    <w:rsid w:val="007019F8"/>
    <w:rsid w:val="00701A2F"/>
    <w:rsid w:val="00701A83"/>
    <w:rsid w:val="00701B95"/>
    <w:rsid w:val="00701C12"/>
    <w:rsid w:val="00701CFC"/>
    <w:rsid w:val="00701D01"/>
    <w:rsid w:val="00701E08"/>
    <w:rsid w:val="00702018"/>
    <w:rsid w:val="00702041"/>
    <w:rsid w:val="00702055"/>
    <w:rsid w:val="007020CC"/>
    <w:rsid w:val="0070246B"/>
    <w:rsid w:val="007024FB"/>
    <w:rsid w:val="007026D3"/>
    <w:rsid w:val="007028AA"/>
    <w:rsid w:val="00702A7A"/>
    <w:rsid w:val="00702B37"/>
    <w:rsid w:val="00702CC6"/>
    <w:rsid w:val="00702E38"/>
    <w:rsid w:val="00702FE1"/>
    <w:rsid w:val="00703087"/>
    <w:rsid w:val="00703494"/>
    <w:rsid w:val="00703550"/>
    <w:rsid w:val="007035AD"/>
    <w:rsid w:val="0070364D"/>
    <w:rsid w:val="00703A73"/>
    <w:rsid w:val="00703AF0"/>
    <w:rsid w:val="00703B9B"/>
    <w:rsid w:val="00703C81"/>
    <w:rsid w:val="00703E94"/>
    <w:rsid w:val="00703F25"/>
    <w:rsid w:val="00704025"/>
    <w:rsid w:val="0070404C"/>
    <w:rsid w:val="0070411B"/>
    <w:rsid w:val="00704357"/>
    <w:rsid w:val="0070457A"/>
    <w:rsid w:val="0070460D"/>
    <w:rsid w:val="0070478B"/>
    <w:rsid w:val="00704809"/>
    <w:rsid w:val="00704811"/>
    <w:rsid w:val="00704860"/>
    <w:rsid w:val="007049DE"/>
    <w:rsid w:val="00704C0E"/>
    <w:rsid w:val="00704C68"/>
    <w:rsid w:val="00704CCF"/>
    <w:rsid w:val="00704D54"/>
    <w:rsid w:val="00704E25"/>
    <w:rsid w:val="00704F21"/>
    <w:rsid w:val="00704FA1"/>
    <w:rsid w:val="00704FF5"/>
    <w:rsid w:val="00705090"/>
    <w:rsid w:val="0070516F"/>
    <w:rsid w:val="007051CA"/>
    <w:rsid w:val="007052AB"/>
    <w:rsid w:val="007054BB"/>
    <w:rsid w:val="007054BF"/>
    <w:rsid w:val="00705515"/>
    <w:rsid w:val="0070555F"/>
    <w:rsid w:val="00705683"/>
    <w:rsid w:val="00705740"/>
    <w:rsid w:val="0070578B"/>
    <w:rsid w:val="007057BE"/>
    <w:rsid w:val="007058C1"/>
    <w:rsid w:val="00705949"/>
    <w:rsid w:val="007059C0"/>
    <w:rsid w:val="00705B15"/>
    <w:rsid w:val="00705B50"/>
    <w:rsid w:val="00705BED"/>
    <w:rsid w:val="00705C9B"/>
    <w:rsid w:val="00706030"/>
    <w:rsid w:val="007060DF"/>
    <w:rsid w:val="00706163"/>
    <w:rsid w:val="0070617D"/>
    <w:rsid w:val="007061C1"/>
    <w:rsid w:val="007061E0"/>
    <w:rsid w:val="00706218"/>
    <w:rsid w:val="007062FC"/>
    <w:rsid w:val="007063FF"/>
    <w:rsid w:val="0070644A"/>
    <w:rsid w:val="00706461"/>
    <w:rsid w:val="00706499"/>
    <w:rsid w:val="007066E1"/>
    <w:rsid w:val="007067E3"/>
    <w:rsid w:val="007067F6"/>
    <w:rsid w:val="00706D31"/>
    <w:rsid w:val="00706D93"/>
    <w:rsid w:val="00706F3D"/>
    <w:rsid w:val="00706F44"/>
    <w:rsid w:val="00707015"/>
    <w:rsid w:val="00707089"/>
    <w:rsid w:val="007072EB"/>
    <w:rsid w:val="0070748E"/>
    <w:rsid w:val="0070751A"/>
    <w:rsid w:val="0070764C"/>
    <w:rsid w:val="00707762"/>
    <w:rsid w:val="007078AA"/>
    <w:rsid w:val="007078E2"/>
    <w:rsid w:val="007078E8"/>
    <w:rsid w:val="0070796C"/>
    <w:rsid w:val="00707A40"/>
    <w:rsid w:val="00707AC8"/>
    <w:rsid w:val="00707B5A"/>
    <w:rsid w:val="00707C7C"/>
    <w:rsid w:val="00707CE2"/>
    <w:rsid w:val="00707D2D"/>
    <w:rsid w:val="00707F37"/>
    <w:rsid w:val="00707F4E"/>
    <w:rsid w:val="00710188"/>
    <w:rsid w:val="007101D5"/>
    <w:rsid w:val="0071028F"/>
    <w:rsid w:val="0071045F"/>
    <w:rsid w:val="0071048F"/>
    <w:rsid w:val="007105C9"/>
    <w:rsid w:val="007105FA"/>
    <w:rsid w:val="00710600"/>
    <w:rsid w:val="0071084C"/>
    <w:rsid w:val="0071084F"/>
    <w:rsid w:val="007108D8"/>
    <w:rsid w:val="00710C18"/>
    <w:rsid w:val="00710CEE"/>
    <w:rsid w:val="00710D5C"/>
    <w:rsid w:val="00710E6B"/>
    <w:rsid w:val="00710EC0"/>
    <w:rsid w:val="00710F4C"/>
    <w:rsid w:val="00710F52"/>
    <w:rsid w:val="00710F94"/>
    <w:rsid w:val="00711089"/>
    <w:rsid w:val="007110BA"/>
    <w:rsid w:val="00711191"/>
    <w:rsid w:val="00711192"/>
    <w:rsid w:val="007111C1"/>
    <w:rsid w:val="007111FD"/>
    <w:rsid w:val="0071123A"/>
    <w:rsid w:val="007114E3"/>
    <w:rsid w:val="00711518"/>
    <w:rsid w:val="007117C6"/>
    <w:rsid w:val="0071180D"/>
    <w:rsid w:val="0071185C"/>
    <w:rsid w:val="00711885"/>
    <w:rsid w:val="007119F1"/>
    <w:rsid w:val="007119F2"/>
    <w:rsid w:val="00712009"/>
    <w:rsid w:val="00712105"/>
    <w:rsid w:val="007122E6"/>
    <w:rsid w:val="007123C2"/>
    <w:rsid w:val="007124A9"/>
    <w:rsid w:val="007125FA"/>
    <w:rsid w:val="00712704"/>
    <w:rsid w:val="00712714"/>
    <w:rsid w:val="007127CF"/>
    <w:rsid w:val="00712807"/>
    <w:rsid w:val="00712933"/>
    <w:rsid w:val="00712A84"/>
    <w:rsid w:val="00712CD4"/>
    <w:rsid w:val="00712D0E"/>
    <w:rsid w:val="00712DAD"/>
    <w:rsid w:val="00712E4D"/>
    <w:rsid w:val="00712EF4"/>
    <w:rsid w:val="007134AC"/>
    <w:rsid w:val="007134D5"/>
    <w:rsid w:val="007135CD"/>
    <w:rsid w:val="007138BC"/>
    <w:rsid w:val="007139AF"/>
    <w:rsid w:val="00713A42"/>
    <w:rsid w:val="00713BB5"/>
    <w:rsid w:val="00713D8C"/>
    <w:rsid w:val="00713DAE"/>
    <w:rsid w:val="00713DFB"/>
    <w:rsid w:val="00713EA4"/>
    <w:rsid w:val="00714034"/>
    <w:rsid w:val="0071420B"/>
    <w:rsid w:val="00714323"/>
    <w:rsid w:val="007144CB"/>
    <w:rsid w:val="0071458B"/>
    <w:rsid w:val="00714817"/>
    <w:rsid w:val="00714A77"/>
    <w:rsid w:val="00714AC9"/>
    <w:rsid w:val="00714B06"/>
    <w:rsid w:val="00715039"/>
    <w:rsid w:val="007150DA"/>
    <w:rsid w:val="00715135"/>
    <w:rsid w:val="00715204"/>
    <w:rsid w:val="007152A8"/>
    <w:rsid w:val="0071534A"/>
    <w:rsid w:val="007154FC"/>
    <w:rsid w:val="00715626"/>
    <w:rsid w:val="00715641"/>
    <w:rsid w:val="00715644"/>
    <w:rsid w:val="00715699"/>
    <w:rsid w:val="00715734"/>
    <w:rsid w:val="007159A3"/>
    <w:rsid w:val="007159AA"/>
    <w:rsid w:val="00715C1D"/>
    <w:rsid w:val="00715DB2"/>
    <w:rsid w:val="00715ED5"/>
    <w:rsid w:val="0071622B"/>
    <w:rsid w:val="0071627B"/>
    <w:rsid w:val="00716353"/>
    <w:rsid w:val="0071650A"/>
    <w:rsid w:val="00716676"/>
    <w:rsid w:val="007166C9"/>
    <w:rsid w:val="00716711"/>
    <w:rsid w:val="0071672C"/>
    <w:rsid w:val="007167DF"/>
    <w:rsid w:val="00716922"/>
    <w:rsid w:val="00716997"/>
    <w:rsid w:val="00716A11"/>
    <w:rsid w:val="00716B46"/>
    <w:rsid w:val="00716BCB"/>
    <w:rsid w:val="00716C68"/>
    <w:rsid w:val="00716D7E"/>
    <w:rsid w:val="00716EEE"/>
    <w:rsid w:val="00716F11"/>
    <w:rsid w:val="00716F6B"/>
    <w:rsid w:val="00717127"/>
    <w:rsid w:val="0071712C"/>
    <w:rsid w:val="0071721C"/>
    <w:rsid w:val="0071736B"/>
    <w:rsid w:val="00717439"/>
    <w:rsid w:val="007174B0"/>
    <w:rsid w:val="007175ED"/>
    <w:rsid w:val="00717671"/>
    <w:rsid w:val="007179CA"/>
    <w:rsid w:val="00717A4D"/>
    <w:rsid w:val="00717A87"/>
    <w:rsid w:val="00717B0A"/>
    <w:rsid w:val="00717DA6"/>
    <w:rsid w:val="00717FD6"/>
    <w:rsid w:val="00720047"/>
    <w:rsid w:val="00720124"/>
    <w:rsid w:val="00720186"/>
    <w:rsid w:val="007202A7"/>
    <w:rsid w:val="007204B6"/>
    <w:rsid w:val="0072055A"/>
    <w:rsid w:val="007205D3"/>
    <w:rsid w:val="007207E0"/>
    <w:rsid w:val="00720828"/>
    <w:rsid w:val="0072084A"/>
    <w:rsid w:val="00720915"/>
    <w:rsid w:val="00720947"/>
    <w:rsid w:val="00720966"/>
    <w:rsid w:val="00720A59"/>
    <w:rsid w:val="00720AA8"/>
    <w:rsid w:val="00720B46"/>
    <w:rsid w:val="00720B52"/>
    <w:rsid w:val="00720C59"/>
    <w:rsid w:val="00720CD8"/>
    <w:rsid w:val="00720DFA"/>
    <w:rsid w:val="00720EF0"/>
    <w:rsid w:val="007210F5"/>
    <w:rsid w:val="00721191"/>
    <w:rsid w:val="00721199"/>
    <w:rsid w:val="00721298"/>
    <w:rsid w:val="0072138D"/>
    <w:rsid w:val="0072140B"/>
    <w:rsid w:val="00721547"/>
    <w:rsid w:val="00721563"/>
    <w:rsid w:val="00721883"/>
    <w:rsid w:val="00721A5C"/>
    <w:rsid w:val="00721C25"/>
    <w:rsid w:val="00721C40"/>
    <w:rsid w:val="00721C90"/>
    <w:rsid w:val="00721CCA"/>
    <w:rsid w:val="00721CF2"/>
    <w:rsid w:val="00721D74"/>
    <w:rsid w:val="00721D7F"/>
    <w:rsid w:val="00721DD5"/>
    <w:rsid w:val="00721E1F"/>
    <w:rsid w:val="00721F2D"/>
    <w:rsid w:val="00722002"/>
    <w:rsid w:val="00722135"/>
    <w:rsid w:val="00722183"/>
    <w:rsid w:val="00722261"/>
    <w:rsid w:val="007222B5"/>
    <w:rsid w:val="007222E0"/>
    <w:rsid w:val="007223D0"/>
    <w:rsid w:val="00722600"/>
    <w:rsid w:val="0072267D"/>
    <w:rsid w:val="007226AB"/>
    <w:rsid w:val="00722729"/>
    <w:rsid w:val="00722734"/>
    <w:rsid w:val="00722900"/>
    <w:rsid w:val="00722991"/>
    <w:rsid w:val="007229C3"/>
    <w:rsid w:val="00722A47"/>
    <w:rsid w:val="00722BF1"/>
    <w:rsid w:val="00722D39"/>
    <w:rsid w:val="00722F13"/>
    <w:rsid w:val="00722F71"/>
    <w:rsid w:val="00722FFD"/>
    <w:rsid w:val="00723368"/>
    <w:rsid w:val="0072349E"/>
    <w:rsid w:val="00723518"/>
    <w:rsid w:val="0072354C"/>
    <w:rsid w:val="007236E1"/>
    <w:rsid w:val="00723952"/>
    <w:rsid w:val="0072396D"/>
    <w:rsid w:val="007239CB"/>
    <w:rsid w:val="00723AF5"/>
    <w:rsid w:val="00723D14"/>
    <w:rsid w:val="00723DAB"/>
    <w:rsid w:val="00723E07"/>
    <w:rsid w:val="00723EE6"/>
    <w:rsid w:val="00723F40"/>
    <w:rsid w:val="00723F4F"/>
    <w:rsid w:val="007241F5"/>
    <w:rsid w:val="007242CB"/>
    <w:rsid w:val="00724355"/>
    <w:rsid w:val="00724417"/>
    <w:rsid w:val="00724570"/>
    <w:rsid w:val="00724A61"/>
    <w:rsid w:val="00724A77"/>
    <w:rsid w:val="00724ACD"/>
    <w:rsid w:val="00724B28"/>
    <w:rsid w:val="00724BF2"/>
    <w:rsid w:val="00724D59"/>
    <w:rsid w:val="007250CE"/>
    <w:rsid w:val="007250F8"/>
    <w:rsid w:val="00725268"/>
    <w:rsid w:val="00725342"/>
    <w:rsid w:val="007253ED"/>
    <w:rsid w:val="0072542E"/>
    <w:rsid w:val="0072569E"/>
    <w:rsid w:val="00725745"/>
    <w:rsid w:val="00725766"/>
    <w:rsid w:val="00725870"/>
    <w:rsid w:val="007259DB"/>
    <w:rsid w:val="00725AC2"/>
    <w:rsid w:val="00725B95"/>
    <w:rsid w:val="00725C54"/>
    <w:rsid w:val="00725C76"/>
    <w:rsid w:val="00725DCB"/>
    <w:rsid w:val="00725E5F"/>
    <w:rsid w:val="00725F0E"/>
    <w:rsid w:val="0072612F"/>
    <w:rsid w:val="00726148"/>
    <w:rsid w:val="00726376"/>
    <w:rsid w:val="007264E3"/>
    <w:rsid w:val="0072651F"/>
    <w:rsid w:val="007265E6"/>
    <w:rsid w:val="00726651"/>
    <w:rsid w:val="00726676"/>
    <w:rsid w:val="00726736"/>
    <w:rsid w:val="00726784"/>
    <w:rsid w:val="00726C69"/>
    <w:rsid w:val="00726D99"/>
    <w:rsid w:val="00726E7C"/>
    <w:rsid w:val="00726F20"/>
    <w:rsid w:val="007271E6"/>
    <w:rsid w:val="0072730D"/>
    <w:rsid w:val="007276AD"/>
    <w:rsid w:val="0072773A"/>
    <w:rsid w:val="007277A3"/>
    <w:rsid w:val="007278DD"/>
    <w:rsid w:val="00727980"/>
    <w:rsid w:val="007279C8"/>
    <w:rsid w:val="00727A4D"/>
    <w:rsid w:val="00727BC6"/>
    <w:rsid w:val="00727C30"/>
    <w:rsid w:val="00727CDE"/>
    <w:rsid w:val="00727FDA"/>
    <w:rsid w:val="00730193"/>
    <w:rsid w:val="007302BA"/>
    <w:rsid w:val="00730311"/>
    <w:rsid w:val="0073035A"/>
    <w:rsid w:val="00730429"/>
    <w:rsid w:val="007304CA"/>
    <w:rsid w:val="00730561"/>
    <w:rsid w:val="00730660"/>
    <w:rsid w:val="0073066C"/>
    <w:rsid w:val="00730675"/>
    <w:rsid w:val="0073071C"/>
    <w:rsid w:val="007307AE"/>
    <w:rsid w:val="007307E7"/>
    <w:rsid w:val="00730843"/>
    <w:rsid w:val="00730930"/>
    <w:rsid w:val="00730944"/>
    <w:rsid w:val="00730A3D"/>
    <w:rsid w:val="00730A99"/>
    <w:rsid w:val="00730B2E"/>
    <w:rsid w:val="00730E20"/>
    <w:rsid w:val="00730ECC"/>
    <w:rsid w:val="00730EFF"/>
    <w:rsid w:val="00731036"/>
    <w:rsid w:val="007310EC"/>
    <w:rsid w:val="0073120B"/>
    <w:rsid w:val="00731292"/>
    <w:rsid w:val="007312CC"/>
    <w:rsid w:val="00731350"/>
    <w:rsid w:val="00731372"/>
    <w:rsid w:val="0073140F"/>
    <w:rsid w:val="00731439"/>
    <w:rsid w:val="007314A1"/>
    <w:rsid w:val="00731532"/>
    <w:rsid w:val="00731563"/>
    <w:rsid w:val="0073157F"/>
    <w:rsid w:val="00731715"/>
    <w:rsid w:val="007317C9"/>
    <w:rsid w:val="0073183B"/>
    <w:rsid w:val="00731844"/>
    <w:rsid w:val="00731891"/>
    <w:rsid w:val="007319A3"/>
    <w:rsid w:val="00731AC1"/>
    <w:rsid w:val="00731B8E"/>
    <w:rsid w:val="00731B92"/>
    <w:rsid w:val="00731BFC"/>
    <w:rsid w:val="00731E6C"/>
    <w:rsid w:val="00731FA3"/>
    <w:rsid w:val="00732002"/>
    <w:rsid w:val="00732634"/>
    <w:rsid w:val="00732662"/>
    <w:rsid w:val="007327FC"/>
    <w:rsid w:val="0073292F"/>
    <w:rsid w:val="00732D56"/>
    <w:rsid w:val="00732D84"/>
    <w:rsid w:val="00732E70"/>
    <w:rsid w:val="00732EEA"/>
    <w:rsid w:val="00732F3D"/>
    <w:rsid w:val="00732F46"/>
    <w:rsid w:val="00732FCD"/>
    <w:rsid w:val="00733074"/>
    <w:rsid w:val="007333B2"/>
    <w:rsid w:val="0073344A"/>
    <w:rsid w:val="00733530"/>
    <w:rsid w:val="0073365A"/>
    <w:rsid w:val="007336AA"/>
    <w:rsid w:val="007336D6"/>
    <w:rsid w:val="00733767"/>
    <w:rsid w:val="00733916"/>
    <w:rsid w:val="007339AB"/>
    <w:rsid w:val="007339B2"/>
    <w:rsid w:val="007339C5"/>
    <w:rsid w:val="00733B5E"/>
    <w:rsid w:val="00733DA4"/>
    <w:rsid w:val="00733E62"/>
    <w:rsid w:val="00733EA7"/>
    <w:rsid w:val="00733F15"/>
    <w:rsid w:val="00733FD5"/>
    <w:rsid w:val="007340DA"/>
    <w:rsid w:val="00734245"/>
    <w:rsid w:val="0073424B"/>
    <w:rsid w:val="007343A6"/>
    <w:rsid w:val="00734416"/>
    <w:rsid w:val="00734668"/>
    <w:rsid w:val="00734697"/>
    <w:rsid w:val="00734783"/>
    <w:rsid w:val="007347D0"/>
    <w:rsid w:val="00734954"/>
    <w:rsid w:val="007349B7"/>
    <w:rsid w:val="007349FC"/>
    <w:rsid w:val="00734A0E"/>
    <w:rsid w:val="00734A39"/>
    <w:rsid w:val="00734B39"/>
    <w:rsid w:val="00734EFE"/>
    <w:rsid w:val="00734F69"/>
    <w:rsid w:val="00734F85"/>
    <w:rsid w:val="00734FFF"/>
    <w:rsid w:val="0073512E"/>
    <w:rsid w:val="0073514C"/>
    <w:rsid w:val="007351A4"/>
    <w:rsid w:val="00735258"/>
    <w:rsid w:val="00735364"/>
    <w:rsid w:val="007354AE"/>
    <w:rsid w:val="0073552B"/>
    <w:rsid w:val="00735566"/>
    <w:rsid w:val="0073565C"/>
    <w:rsid w:val="0073572B"/>
    <w:rsid w:val="00735764"/>
    <w:rsid w:val="007358CB"/>
    <w:rsid w:val="00735C79"/>
    <w:rsid w:val="00735C90"/>
    <w:rsid w:val="00735CB3"/>
    <w:rsid w:val="00735F36"/>
    <w:rsid w:val="0073618A"/>
    <w:rsid w:val="007363B5"/>
    <w:rsid w:val="007363BD"/>
    <w:rsid w:val="007363CC"/>
    <w:rsid w:val="007363E0"/>
    <w:rsid w:val="007365D9"/>
    <w:rsid w:val="007365DD"/>
    <w:rsid w:val="007365FD"/>
    <w:rsid w:val="00736695"/>
    <w:rsid w:val="007368A0"/>
    <w:rsid w:val="00736A73"/>
    <w:rsid w:val="00736D4D"/>
    <w:rsid w:val="00736DA4"/>
    <w:rsid w:val="00736E98"/>
    <w:rsid w:val="00736ED8"/>
    <w:rsid w:val="00737068"/>
    <w:rsid w:val="0073716C"/>
    <w:rsid w:val="00737188"/>
    <w:rsid w:val="007371ED"/>
    <w:rsid w:val="007371EE"/>
    <w:rsid w:val="007371F3"/>
    <w:rsid w:val="00737422"/>
    <w:rsid w:val="0073746E"/>
    <w:rsid w:val="00737480"/>
    <w:rsid w:val="007374AA"/>
    <w:rsid w:val="00737540"/>
    <w:rsid w:val="007376A7"/>
    <w:rsid w:val="00737726"/>
    <w:rsid w:val="0073773B"/>
    <w:rsid w:val="007377C5"/>
    <w:rsid w:val="007378A7"/>
    <w:rsid w:val="007378E4"/>
    <w:rsid w:val="00737CC4"/>
    <w:rsid w:val="00737D51"/>
    <w:rsid w:val="00737D88"/>
    <w:rsid w:val="00737DB9"/>
    <w:rsid w:val="00737E5A"/>
    <w:rsid w:val="00737FD0"/>
    <w:rsid w:val="0074011F"/>
    <w:rsid w:val="0074018D"/>
    <w:rsid w:val="007404F9"/>
    <w:rsid w:val="0074060F"/>
    <w:rsid w:val="00740682"/>
    <w:rsid w:val="007406E9"/>
    <w:rsid w:val="00740773"/>
    <w:rsid w:val="00740798"/>
    <w:rsid w:val="007408A0"/>
    <w:rsid w:val="00740BC1"/>
    <w:rsid w:val="00740CD9"/>
    <w:rsid w:val="00741176"/>
    <w:rsid w:val="0074122D"/>
    <w:rsid w:val="0074123E"/>
    <w:rsid w:val="0074127E"/>
    <w:rsid w:val="007412DE"/>
    <w:rsid w:val="00741313"/>
    <w:rsid w:val="0074135A"/>
    <w:rsid w:val="007413EB"/>
    <w:rsid w:val="00741544"/>
    <w:rsid w:val="00741629"/>
    <w:rsid w:val="00741660"/>
    <w:rsid w:val="00741707"/>
    <w:rsid w:val="007417E2"/>
    <w:rsid w:val="00741839"/>
    <w:rsid w:val="00741846"/>
    <w:rsid w:val="00741876"/>
    <w:rsid w:val="00741910"/>
    <w:rsid w:val="00741AE4"/>
    <w:rsid w:val="00741D66"/>
    <w:rsid w:val="00741E7F"/>
    <w:rsid w:val="00741EA0"/>
    <w:rsid w:val="007422A5"/>
    <w:rsid w:val="007422D4"/>
    <w:rsid w:val="00742383"/>
    <w:rsid w:val="007424A2"/>
    <w:rsid w:val="00742685"/>
    <w:rsid w:val="00742778"/>
    <w:rsid w:val="007427CD"/>
    <w:rsid w:val="0074285B"/>
    <w:rsid w:val="00742B7E"/>
    <w:rsid w:val="00742B86"/>
    <w:rsid w:val="00742C55"/>
    <w:rsid w:val="00742C6F"/>
    <w:rsid w:val="00742F89"/>
    <w:rsid w:val="007430A0"/>
    <w:rsid w:val="00743182"/>
    <w:rsid w:val="007434FE"/>
    <w:rsid w:val="00743579"/>
    <w:rsid w:val="007435A0"/>
    <w:rsid w:val="0074366C"/>
    <w:rsid w:val="007436D3"/>
    <w:rsid w:val="00743717"/>
    <w:rsid w:val="0074375C"/>
    <w:rsid w:val="00743837"/>
    <w:rsid w:val="00743A2C"/>
    <w:rsid w:val="00743A40"/>
    <w:rsid w:val="00743B67"/>
    <w:rsid w:val="00743C1E"/>
    <w:rsid w:val="00743C79"/>
    <w:rsid w:val="00743D1E"/>
    <w:rsid w:val="00743E3D"/>
    <w:rsid w:val="00743E5A"/>
    <w:rsid w:val="0074435A"/>
    <w:rsid w:val="007445A2"/>
    <w:rsid w:val="0074488B"/>
    <w:rsid w:val="00744B29"/>
    <w:rsid w:val="00744CFA"/>
    <w:rsid w:val="00744D6A"/>
    <w:rsid w:val="00744E0F"/>
    <w:rsid w:val="00744ED2"/>
    <w:rsid w:val="00744EFA"/>
    <w:rsid w:val="00744F2D"/>
    <w:rsid w:val="00744FAD"/>
    <w:rsid w:val="00744FCC"/>
    <w:rsid w:val="0074536B"/>
    <w:rsid w:val="0074537A"/>
    <w:rsid w:val="007453AC"/>
    <w:rsid w:val="007454D4"/>
    <w:rsid w:val="007454FD"/>
    <w:rsid w:val="00745589"/>
    <w:rsid w:val="007455AA"/>
    <w:rsid w:val="007455C3"/>
    <w:rsid w:val="00745621"/>
    <w:rsid w:val="007456EA"/>
    <w:rsid w:val="00745710"/>
    <w:rsid w:val="007457D5"/>
    <w:rsid w:val="00745812"/>
    <w:rsid w:val="00745836"/>
    <w:rsid w:val="00745869"/>
    <w:rsid w:val="00745B25"/>
    <w:rsid w:val="00745B58"/>
    <w:rsid w:val="00745C80"/>
    <w:rsid w:val="00745C93"/>
    <w:rsid w:val="00745CC3"/>
    <w:rsid w:val="00745D0D"/>
    <w:rsid w:val="00745DC1"/>
    <w:rsid w:val="00745F28"/>
    <w:rsid w:val="00745F2F"/>
    <w:rsid w:val="00745F5C"/>
    <w:rsid w:val="00746097"/>
    <w:rsid w:val="00746226"/>
    <w:rsid w:val="007464C6"/>
    <w:rsid w:val="0074650D"/>
    <w:rsid w:val="007468E7"/>
    <w:rsid w:val="007468ED"/>
    <w:rsid w:val="00746AC3"/>
    <w:rsid w:val="00746B56"/>
    <w:rsid w:val="00746BEC"/>
    <w:rsid w:val="00746BEF"/>
    <w:rsid w:val="00746C11"/>
    <w:rsid w:val="00746C5C"/>
    <w:rsid w:val="00746DAC"/>
    <w:rsid w:val="00746E3B"/>
    <w:rsid w:val="00746E5A"/>
    <w:rsid w:val="0074715F"/>
    <w:rsid w:val="00747388"/>
    <w:rsid w:val="007473E3"/>
    <w:rsid w:val="00747475"/>
    <w:rsid w:val="007474C1"/>
    <w:rsid w:val="00747569"/>
    <w:rsid w:val="0074756E"/>
    <w:rsid w:val="00747678"/>
    <w:rsid w:val="00747843"/>
    <w:rsid w:val="00747848"/>
    <w:rsid w:val="00747967"/>
    <w:rsid w:val="00747A62"/>
    <w:rsid w:val="00747ABD"/>
    <w:rsid w:val="00747C2C"/>
    <w:rsid w:val="00747C53"/>
    <w:rsid w:val="00747DB6"/>
    <w:rsid w:val="00747FD9"/>
    <w:rsid w:val="0075004A"/>
    <w:rsid w:val="007500B1"/>
    <w:rsid w:val="007502AA"/>
    <w:rsid w:val="007502D1"/>
    <w:rsid w:val="007502E6"/>
    <w:rsid w:val="0075079F"/>
    <w:rsid w:val="0075090C"/>
    <w:rsid w:val="0075097A"/>
    <w:rsid w:val="00750C00"/>
    <w:rsid w:val="00750D34"/>
    <w:rsid w:val="00750FC7"/>
    <w:rsid w:val="0075112C"/>
    <w:rsid w:val="0075115D"/>
    <w:rsid w:val="00751168"/>
    <w:rsid w:val="00751282"/>
    <w:rsid w:val="007514EE"/>
    <w:rsid w:val="007515FC"/>
    <w:rsid w:val="007516B1"/>
    <w:rsid w:val="0075171E"/>
    <w:rsid w:val="0075176D"/>
    <w:rsid w:val="00751C87"/>
    <w:rsid w:val="00751CE5"/>
    <w:rsid w:val="00751E05"/>
    <w:rsid w:val="00751F0F"/>
    <w:rsid w:val="007522AE"/>
    <w:rsid w:val="0075241F"/>
    <w:rsid w:val="00752522"/>
    <w:rsid w:val="007529BE"/>
    <w:rsid w:val="00752A11"/>
    <w:rsid w:val="00752B8F"/>
    <w:rsid w:val="00752CE1"/>
    <w:rsid w:val="00752DEF"/>
    <w:rsid w:val="00752FFF"/>
    <w:rsid w:val="0075312A"/>
    <w:rsid w:val="007531A8"/>
    <w:rsid w:val="007532AB"/>
    <w:rsid w:val="007533AB"/>
    <w:rsid w:val="007533C8"/>
    <w:rsid w:val="007534C3"/>
    <w:rsid w:val="0075354C"/>
    <w:rsid w:val="0075367A"/>
    <w:rsid w:val="00753687"/>
    <w:rsid w:val="007536BF"/>
    <w:rsid w:val="007537E1"/>
    <w:rsid w:val="007538C3"/>
    <w:rsid w:val="00753AEF"/>
    <w:rsid w:val="00753B77"/>
    <w:rsid w:val="00753B7F"/>
    <w:rsid w:val="00753BA5"/>
    <w:rsid w:val="00753CF9"/>
    <w:rsid w:val="00753ECB"/>
    <w:rsid w:val="00753EF3"/>
    <w:rsid w:val="00753FF4"/>
    <w:rsid w:val="0075410B"/>
    <w:rsid w:val="00754116"/>
    <w:rsid w:val="007542A7"/>
    <w:rsid w:val="007542E3"/>
    <w:rsid w:val="00754395"/>
    <w:rsid w:val="0075441D"/>
    <w:rsid w:val="00754515"/>
    <w:rsid w:val="0075453E"/>
    <w:rsid w:val="00754695"/>
    <w:rsid w:val="00754800"/>
    <w:rsid w:val="00754813"/>
    <w:rsid w:val="007548B1"/>
    <w:rsid w:val="0075490F"/>
    <w:rsid w:val="00754995"/>
    <w:rsid w:val="00754AF9"/>
    <w:rsid w:val="00754B02"/>
    <w:rsid w:val="00754BC3"/>
    <w:rsid w:val="00754C62"/>
    <w:rsid w:val="00754C89"/>
    <w:rsid w:val="00754CBA"/>
    <w:rsid w:val="00754E62"/>
    <w:rsid w:val="0075518D"/>
    <w:rsid w:val="0075529C"/>
    <w:rsid w:val="00755481"/>
    <w:rsid w:val="007554E3"/>
    <w:rsid w:val="007554E8"/>
    <w:rsid w:val="007556F2"/>
    <w:rsid w:val="007556F8"/>
    <w:rsid w:val="0075571E"/>
    <w:rsid w:val="007559C0"/>
    <w:rsid w:val="00755A7F"/>
    <w:rsid w:val="00755AF3"/>
    <w:rsid w:val="00755CC7"/>
    <w:rsid w:val="00755D97"/>
    <w:rsid w:val="00755F5E"/>
    <w:rsid w:val="00755F74"/>
    <w:rsid w:val="00755FAF"/>
    <w:rsid w:val="007560B1"/>
    <w:rsid w:val="00756139"/>
    <w:rsid w:val="00756150"/>
    <w:rsid w:val="007561B9"/>
    <w:rsid w:val="00756200"/>
    <w:rsid w:val="00756243"/>
    <w:rsid w:val="00756277"/>
    <w:rsid w:val="0075627B"/>
    <w:rsid w:val="00756291"/>
    <w:rsid w:val="007562A0"/>
    <w:rsid w:val="007563D7"/>
    <w:rsid w:val="00756468"/>
    <w:rsid w:val="0075647C"/>
    <w:rsid w:val="007564D1"/>
    <w:rsid w:val="00756512"/>
    <w:rsid w:val="007565CC"/>
    <w:rsid w:val="0075660A"/>
    <w:rsid w:val="0075665B"/>
    <w:rsid w:val="00756758"/>
    <w:rsid w:val="007569B3"/>
    <w:rsid w:val="00756AD0"/>
    <w:rsid w:val="00756B27"/>
    <w:rsid w:val="00756C06"/>
    <w:rsid w:val="00756C1E"/>
    <w:rsid w:val="00756D6F"/>
    <w:rsid w:val="00756DAC"/>
    <w:rsid w:val="00756DAE"/>
    <w:rsid w:val="00756DE6"/>
    <w:rsid w:val="00756E87"/>
    <w:rsid w:val="00756F08"/>
    <w:rsid w:val="00756F66"/>
    <w:rsid w:val="00756F73"/>
    <w:rsid w:val="00756FDC"/>
    <w:rsid w:val="00757135"/>
    <w:rsid w:val="007571EA"/>
    <w:rsid w:val="00757381"/>
    <w:rsid w:val="007573C6"/>
    <w:rsid w:val="007576F1"/>
    <w:rsid w:val="00757843"/>
    <w:rsid w:val="00757B51"/>
    <w:rsid w:val="00757BD3"/>
    <w:rsid w:val="00757C42"/>
    <w:rsid w:val="00757CD7"/>
    <w:rsid w:val="00757CED"/>
    <w:rsid w:val="00757DE0"/>
    <w:rsid w:val="00757E4A"/>
    <w:rsid w:val="00757EC0"/>
    <w:rsid w:val="00760061"/>
    <w:rsid w:val="00760222"/>
    <w:rsid w:val="007603CA"/>
    <w:rsid w:val="00760496"/>
    <w:rsid w:val="007605D3"/>
    <w:rsid w:val="007607B0"/>
    <w:rsid w:val="00760872"/>
    <w:rsid w:val="00760A5F"/>
    <w:rsid w:val="00760ACB"/>
    <w:rsid w:val="00760B8A"/>
    <w:rsid w:val="00760BCF"/>
    <w:rsid w:val="00760C5D"/>
    <w:rsid w:val="00760CCA"/>
    <w:rsid w:val="00760D21"/>
    <w:rsid w:val="00760FD3"/>
    <w:rsid w:val="00761158"/>
    <w:rsid w:val="0076134B"/>
    <w:rsid w:val="00761373"/>
    <w:rsid w:val="007614F5"/>
    <w:rsid w:val="0076154D"/>
    <w:rsid w:val="007615B6"/>
    <w:rsid w:val="0076165B"/>
    <w:rsid w:val="0076192C"/>
    <w:rsid w:val="00761B98"/>
    <w:rsid w:val="00761C31"/>
    <w:rsid w:val="00761EE6"/>
    <w:rsid w:val="00761EEB"/>
    <w:rsid w:val="00762108"/>
    <w:rsid w:val="0076233C"/>
    <w:rsid w:val="007623C3"/>
    <w:rsid w:val="00762462"/>
    <w:rsid w:val="007624BB"/>
    <w:rsid w:val="0076287D"/>
    <w:rsid w:val="007629B3"/>
    <w:rsid w:val="00762B15"/>
    <w:rsid w:val="00762B8C"/>
    <w:rsid w:val="00762DF4"/>
    <w:rsid w:val="00762DF8"/>
    <w:rsid w:val="00762EB5"/>
    <w:rsid w:val="00762F20"/>
    <w:rsid w:val="007630C7"/>
    <w:rsid w:val="00763181"/>
    <w:rsid w:val="00763194"/>
    <w:rsid w:val="007634C8"/>
    <w:rsid w:val="007635DE"/>
    <w:rsid w:val="007635E7"/>
    <w:rsid w:val="00763761"/>
    <w:rsid w:val="00763897"/>
    <w:rsid w:val="00763A35"/>
    <w:rsid w:val="00763AA1"/>
    <w:rsid w:val="00763B02"/>
    <w:rsid w:val="00763B9A"/>
    <w:rsid w:val="00763C89"/>
    <w:rsid w:val="00763E59"/>
    <w:rsid w:val="00763EF8"/>
    <w:rsid w:val="00764018"/>
    <w:rsid w:val="007641CF"/>
    <w:rsid w:val="00764200"/>
    <w:rsid w:val="0076429A"/>
    <w:rsid w:val="00764313"/>
    <w:rsid w:val="007643CC"/>
    <w:rsid w:val="0076445B"/>
    <w:rsid w:val="00764506"/>
    <w:rsid w:val="00764562"/>
    <w:rsid w:val="007646CE"/>
    <w:rsid w:val="00764754"/>
    <w:rsid w:val="007647E1"/>
    <w:rsid w:val="0076485C"/>
    <w:rsid w:val="007648BC"/>
    <w:rsid w:val="0076492A"/>
    <w:rsid w:val="00764DA3"/>
    <w:rsid w:val="007651FB"/>
    <w:rsid w:val="00765270"/>
    <w:rsid w:val="00765456"/>
    <w:rsid w:val="007654C4"/>
    <w:rsid w:val="007655C2"/>
    <w:rsid w:val="007656B2"/>
    <w:rsid w:val="0076574F"/>
    <w:rsid w:val="007657C3"/>
    <w:rsid w:val="00765854"/>
    <w:rsid w:val="00765864"/>
    <w:rsid w:val="007658D1"/>
    <w:rsid w:val="00765908"/>
    <w:rsid w:val="00765B63"/>
    <w:rsid w:val="00765F2F"/>
    <w:rsid w:val="00765FC7"/>
    <w:rsid w:val="00766018"/>
    <w:rsid w:val="00766088"/>
    <w:rsid w:val="00766144"/>
    <w:rsid w:val="0076618E"/>
    <w:rsid w:val="0076622F"/>
    <w:rsid w:val="007662A6"/>
    <w:rsid w:val="0076631D"/>
    <w:rsid w:val="0076633A"/>
    <w:rsid w:val="007664F4"/>
    <w:rsid w:val="0076653E"/>
    <w:rsid w:val="007665E4"/>
    <w:rsid w:val="0076661D"/>
    <w:rsid w:val="007666C2"/>
    <w:rsid w:val="0076684D"/>
    <w:rsid w:val="0076684E"/>
    <w:rsid w:val="0076691F"/>
    <w:rsid w:val="0076692F"/>
    <w:rsid w:val="007669DB"/>
    <w:rsid w:val="00766A52"/>
    <w:rsid w:val="00766A6E"/>
    <w:rsid w:val="00766A70"/>
    <w:rsid w:val="00766BCC"/>
    <w:rsid w:val="00766C09"/>
    <w:rsid w:val="00766D46"/>
    <w:rsid w:val="00766DF6"/>
    <w:rsid w:val="00766E40"/>
    <w:rsid w:val="00766EF1"/>
    <w:rsid w:val="00766F1C"/>
    <w:rsid w:val="00766F2A"/>
    <w:rsid w:val="0076707A"/>
    <w:rsid w:val="007671AE"/>
    <w:rsid w:val="007674B4"/>
    <w:rsid w:val="0076750A"/>
    <w:rsid w:val="0076766A"/>
    <w:rsid w:val="00767681"/>
    <w:rsid w:val="007677C4"/>
    <w:rsid w:val="00767826"/>
    <w:rsid w:val="00767855"/>
    <w:rsid w:val="007678FC"/>
    <w:rsid w:val="00767969"/>
    <w:rsid w:val="00767B13"/>
    <w:rsid w:val="00767BC1"/>
    <w:rsid w:val="00767EDA"/>
    <w:rsid w:val="00767F64"/>
    <w:rsid w:val="00767FCB"/>
    <w:rsid w:val="00767FCE"/>
    <w:rsid w:val="007700F8"/>
    <w:rsid w:val="00770176"/>
    <w:rsid w:val="0077017F"/>
    <w:rsid w:val="007701AC"/>
    <w:rsid w:val="00770369"/>
    <w:rsid w:val="007703F9"/>
    <w:rsid w:val="00770413"/>
    <w:rsid w:val="00770558"/>
    <w:rsid w:val="00770561"/>
    <w:rsid w:val="00770585"/>
    <w:rsid w:val="0077067E"/>
    <w:rsid w:val="007707D4"/>
    <w:rsid w:val="0077082C"/>
    <w:rsid w:val="007709FE"/>
    <w:rsid w:val="00770A2F"/>
    <w:rsid w:val="00770B90"/>
    <w:rsid w:val="00770C77"/>
    <w:rsid w:val="00770D23"/>
    <w:rsid w:val="00770D85"/>
    <w:rsid w:val="00770D92"/>
    <w:rsid w:val="00770DFE"/>
    <w:rsid w:val="00770E79"/>
    <w:rsid w:val="00770E96"/>
    <w:rsid w:val="00770EA8"/>
    <w:rsid w:val="00770F92"/>
    <w:rsid w:val="00770FC7"/>
    <w:rsid w:val="00771038"/>
    <w:rsid w:val="00771061"/>
    <w:rsid w:val="00771067"/>
    <w:rsid w:val="007710F6"/>
    <w:rsid w:val="00771123"/>
    <w:rsid w:val="00771236"/>
    <w:rsid w:val="00771287"/>
    <w:rsid w:val="007712E7"/>
    <w:rsid w:val="00771586"/>
    <w:rsid w:val="007716FB"/>
    <w:rsid w:val="0077193E"/>
    <w:rsid w:val="00771A69"/>
    <w:rsid w:val="00771C1A"/>
    <w:rsid w:val="00771C49"/>
    <w:rsid w:val="00771F80"/>
    <w:rsid w:val="0077204D"/>
    <w:rsid w:val="00772087"/>
    <w:rsid w:val="00772103"/>
    <w:rsid w:val="00772348"/>
    <w:rsid w:val="0077245D"/>
    <w:rsid w:val="0077250B"/>
    <w:rsid w:val="007725F6"/>
    <w:rsid w:val="00772634"/>
    <w:rsid w:val="007726C8"/>
    <w:rsid w:val="0077292E"/>
    <w:rsid w:val="00772A14"/>
    <w:rsid w:val="00772CF5"/>
    <w:rsid w:val="00772E72"/>
    <w:rsid w:val="007730BC"/>
    <w:rsid w:val="007733A6"/>
    <w:rsid w:val="007733B5"/>
    <w:rsid w:val="0077341D"/>
    <w:rsid w:val="00773440"/>
    <w:rsid w:val="00773594"/>
    <w:rsid w:val="007735DA"/>
    <w:rsid w:val="0077371C"/>
    <w:rsid w:val="0077382D"/>
    <w:rsid w:val="007739D4"/>
    <w:rsid w:val="00773AC6"/>
    <w:rsid w:val="00773E4A"/>
    <w:rsid w:val="00773E51"/>
    <w:rsid w:val="00773E7A"/>
    <w:rsid w:val="00773EF8"/>
    <w:rsid w:val="00773F18"/>
    <w:rsid w:val="00773F3D"/>
    <w:rsid w:val="00774079"/>
    <w:rsid w:val="007740A8"/>
    <w:rsid w:val="00774181"/>
    <w:rsid w:val="00774189"/>
    <w:rsid w:val="00774195"/>
    <w:rsid w:val="00774310"/>
    <w:rsid w:val="00774347"/>
    <w:rsid w:val="007743DB"/>
    <w:rsid w:val="007744DE"/>
    <w:rsid w:val="007744F1"/>
    <w:rsid w:val="00774675"/>
    <w:rsid w:val="00774A97"/>
    <w:rsid w:val="0077508F"/>
    <w:rsid w:val="007750CC"/>
    <w:rsid w:val="007752D3"/>
    <w:rsid w:val="00775472"/>
    <w:rsid w:val="00775544"/>
    <w:rsid w:val="00775592"/>
    <w:rsid w:val="007755E5"/>
    <w:rsid w:val="007755F4"/>
    <w:rsid w:val="00775647"/>
    <w:rsid w:val="0077567C"/>
    <w:rsid w:val="00775734"/>
    <w:rsid w:val="00775779"/>
    <w:rsid w:val="00775B96"/>
    <w:rsid w:val="00775CC1"/>
    <w:rsid w:val="00775E87"/>
    <w:rsid w:val="00775FB6"/>
    <w:rsid w:val="00775FBD"/>
    <w:rsid w:val="007760F2"/>
    <w:rsid w:val="007768B9"/>
    <w:rsid w:val="00776926"/>
    <w:rsid w:val="0077695E"/>
    <w:rsid w:val="007769AB"/>
    <w:rsid w:val="007769D5"/>
    <w:rsid w:val="00776A9E"/>
    <w:rsid w:val="00776DAA"/>
    <w:rsid w:val="00776DBF"/>
    <w:rsid w:val="00776DF3"/>
    <w:rsid w:val="00776F05"/>
    <w:rsid w:val="0077714F"/>
    <w:rsid w:val="0077719C"/>
    <w:rsid w:val="00777444"/>
    <w:rsid w:val="00777478"/>
    <w:rsid w:val="007776BE"/>
    <w:rsid w:val="00777A92"/>
    <w:rsid w:val="00777AE2"/>
    <w:rsid w:val="00777CF2"/>
    <w:rsid w:val="00777D4C"/>
    <w:rsid w:val="00777FC0"/>
    <w:rsid w:val="00780257"/>
    <w:rsid w:val="00780426"/>
    <w:rsid w:val="00780453"/>
    <w:rsid w:val="007804C1"/>
    <w:rsid w:val="0078050F"/>
    <w:rsid w:val="00780523"/>
    <w:rsid w:val="007807F8"/>
    <w:rsid w:val="007808A4"/>
    <w:rsid w:val="007809CC"/>
    <w:rsid w:val="00780AD1"/>
    <w:rsid w:val="00780AE9"/>
    <w:rsid w:val="00780E00"/>
    <w:rsid w:val="00780E28"/>
    <w:rsid w:val="00780F22"/>
    <w:rsid w:val="00780F34"/>
    <w:rsid w:val="00780F4D"/>
    <w:rsid w:val="00781050"/>
    <w:rsid w:val="007811D7"/>
    <w:rsid w:val="007812AD"/>
    <w:rsid w:val="0078143C"/>
    <w:rsid w:val="00781532"/>
    <w:rsid w:val="00781689"/>
    <w:rsid w:val="00781805"/>
    <w:rsid w:val="00781838"/>
    <w:rsid w:val="007818FB"/>
    <w:rsid w:val="00781A29"/>
    <w:rsid w:val="00781A7B"/>
    <w:rsid w:val="00781C9C"/>
    <w:rsid w:val="00781D4D"/>
    <w:rsid w:val="00781D8A"/>
    <w:rsid w:val="00781DF9"/>
    <w:rsid w:val="00781FA7"/>
    <w:rsid w:val="00781FBF"/>
    <w:rsid w:val="0078201E"/>
    <w:rsid w:val="0078215A"/>
    <w:rsid w:val="0078224E"/>
    <w:rsid w:val="007822A9"/>
    <w:rsid w:val="007823FE"/>
    <w:rsid w:val="0078246D"/>
    <w:rsid w:val="0078246E"/>
    <w:rsid w:val="007824B0"/>
    <w:rsid w:val="00782646"/>
    <w:rsid w:val="00782702"/>
    <w:rsid w:val="0078296B"/>
    <w:rsid w:val="00782E18"/>
    <w:rsid w:val="007832FA"/>
    <w:rsid w:val="00783321"/>
    <w:rsid w:val="007834A1"/>
    <w:rsid w:val="007835F1"/>
    <w:rsid w:val="00783753"/>
    <w:rsid w:val="0078378F"/>
    <w:rsid w:val="007838C2"/>
    <w:rsid w:val="00783A3A"/>
    <w:rsid w:val="00783B5C"/>
    <w:rsid w:val="00783C0E"/>
    <w:rsid w:val="00783E76"/>
    <w:rsid w:val="007840E8"/>
    <w:rsid w:val="00784248"/>
    <w:rsid w:val="007842F4"/>
    <w:rsid w:val="00784398"/>
    <w:rsid w:val="007843BF"/>
    <w:rsid w:val="00784447"/>
    <w:rsid w:val="007844D1"/>
    <w:rsid w:val="00784790"/>
    <w:rsid w:val="00784875"/>
    <w:rsid w:val="007849E3"/>
    <w:rsid w:val="00784D46"/>
    <w:rsid w:val="00784D9C"/>
    <w:rsid w:val="00784DF7"/>
    <w:rsid w:val="00784EC6"/>
    <w:rsid w:val="00784F76"/>
    <w:rsid w:val="0078500B"/>
    <w:rsid w:val="0078502F"/>
    <w:rsid w:val="0078506D"/>
    <w:rsid w:val="0078533C"/>
    <w:rsid w:val="0078535E"/>
    <w:rsid w:val="0078537B"/>
    <w:rsid w:val="007853A7"/>
    <w:rsid w:val="00785537"/>
    <w:rsid w:val="0078564F"/>
    <w:rsid w:val="00785666"/>
    <w:rsid w:val="007856C3"/>
    <w:rsid w:val="0078572F"/>
    <w:rsid w:val="007858E2"/>
    <w:rsid w:val="007859A3"/>
    <w:rsid w:val="00785AAF"/>
    <w:rsid w:val="00785B97"/>
    <w:rsid w:val="00785BB1"/>
    <w:rsid w:val="00785C03"/>
    <w:rsid w:val="00785C55"/>
    <w:rsid w:val="00785EC8"/>
    <w:rsid w:val="00785F40"/>
    <w:rsid w:val="00785FEC"/>
    <w:rsid w:val="00786098"/>
    <w:rsid w:val="007860ED"/>
    <w:rsid w:val="00786169"/>
    <w:rsid w:val="00786486"/>
    <w:rsid w:val="0078649E"/>
    <w:rsid w:val="00786668"/>
    <w:rsid w:val="00786823"/>
    <w:rsid w:val="0078684B"/>
    <w:rsid w:val="00786A2F"/>
    <w:rsid w:val="00786CE1"/>
    <w:rsid w:val="007870A6"/>
    <w:rsid w:val="00787176"/>
    <w:rsid w:val="0078764C"/>
    <w:rsid w:val="0078784C"/>
    <w:rsid w:val="00787F3C"/>
    <w:rsid w:val="00787FAB"/>
    <w:rsid w:val="00790051"/>
    <w:rsid w:val="0079013B"/>
    <w:rsid w:val="00790162"/>
    <w:rsid w:val="00790172"/>
    <w:rsid w:val="007901CB"/>
    <w:rsid w:val="007903FB"/>
    <w:rsid w:val="00790459"/>
    <w:rsid w:val="00790469"/>
    <w:rsid w:val="00790889"/>
    <w:rsid w:val="00790AC9"/>
    <w:rsid w:val="00790B8C"/>
    <w:rsid w:val="00790C75"/>
    <w:rsid w:val="00790DED"/>
    <w:rsid w:val="00790E4C"/>
    <w:rsid w:val="00790ED0"/>
    <w:rsid w:val="00791162"/>
    <w:rsid w:val="007911F7"/>
    <w:rsid w:val="007912B6"/>
    <w:rsid w:val="00791523"/>
    <w:rsid w:val="00791A8D"/>
    <w:rsid w:val="00791AC6"/>
    <w:rsid w:val="00791C34"/>
    <w:rsid w:val="00791D88"/>
    <w:rsid w:val="00791E1C"/>
    <w:rsid w:val="00791E61"/>
    <w:rsid w:val="00791E67"/>
    <w:rsid w:val="007924E2"/>
    <w:rsid w:val="007925C0"/>
    <w:rsid w:val="0079269F"/>
    <w:rsid w:val="0079291F"/>
    <w:rsid w:val="007929A4"/>
    <w:rsid w:val="007929D7"/>
    <w:rsid w:val="00792A94"/>
    <w:rsid w:val="00792DD5"/>
    <w:rsid w:val="00792FA8"/>
    <w:rsid w:val="00792FB6"/>
    <w:rsid w:val="00792FDA"/>
    <w:rsid w:val="0079314D"/>
    <w:rsid w:val="007932EA"/>
    <w:rsid w:val="00793324"/>
    <w:rsid w:val="007934A2"/>
    <w:rsid w:val="007936A9"/>
    <w:rsid w:val="007936C1"/>
    <w:rsid w:val="007936FE"/>
    <w:rsid w:val="0079375F"/>
    <w:rsid w:val="007937AC"/>
    <w:rsid w:val="00793864"/>
    <w:rsid w:val="007938F6"/>
    <w:rsid w:val="007939AD"/>
    <w:rsid w:val="007939F9"/>
    <w:rsid w:val="00793ACE"/>
    <w:rsid w:val="00793AD8"/>
    <w:rsid w:val="00793C04"/>
    <w:rsid w:val="00793C7E"/>
    <w:rsid w:val="00793FB8"/>
    <w:rsid w:val="00794134"/>
    <w:rsid w:val="0079419E"/>
    <w:rsid w:val="00794371"/>
    <w:rsid w:val="0079450D"/>
    <w:rsid w:val="00794796"/>
    <w:rsid w:val="00794965"/>
    <w:rsid w:val="00794BD8"/>
    <w:rsid w:val="00794C4B"/>
    <w:rsid w:val="00794D2E"/>
    <w:rsid w:val="00794D94"/>
    <w:rsid w:val="00794EB7"/>
    <w:rsid w:val="00794F4D"/>
    <w:rsid w:val="00795123"/>
    <w:rsid w:val="0079535F"/>
    <w:rsid w:val="007953E0"/>
    <w:rsid w:val="007955CE"/>
    <w:rsid w:val="007956C2"/>
    <w:rsid w:val="007956E1"/>
    <w:rsid w:val="007956F6"/>
    <w:rsid w:val="007958B2"/>
    <w:rsid w:val="007959F4"/>
    <w:rsid w:val="00795A55"/>
    <w:rsid w:val="00795A71"/>
    <w:rsid w:val="00795B65"/>
    <w:rsid w:val="00795BA4"/>
    <w:rsid w:val="00795BCE"/>
    <w:rsid w:val="00795CB5"/>
    <w:rsid w:val="00795D22"/>
    <w:rsid w:val="00795DF5"/>
    <w:rsid w:val="00795E22"/>
    <w:rsid w:val="00795E38"/>
    <w:rsid w:val="007960B9"/>
    <w:rsid w:val="00796312"/>
    <w:rsid w:val="007963A7"/>
    <w:rsid w:val="007966A6"/>
    <w:rsid w:val="007966E5"/>
    <w:rsid w:val="007967CA"/>
    <w:rsid w:val="007967E9"/>
    <w:rsid w:val="007968DD"/>
    <w:rsid w:val="00796966"/>
    <w:rsid w:val="00796A75"/>
    <w:rsid w:val="00796EA2"/>
    <w:rsid w:val="00796FB0"/>
    <w:rsid w:val="00797013"/>
    <w:rsid w:val="0079701B"/>
    <w:rsid w:val="00797246"/>
    <w:rsid w:val="007973F0"/>
    <w:rsid w:val="0079742E"/>
    <w:rsid w:val="0079750C"/>
    <w:rsid w:val="00797523"/>
    <w:rsid w:val="00797579"/>
    <w:rsid w:val="0079784E"/>
    <w:rsid w:val="00797BD2"/>
    <w:rsid w:val="00797BFA"/>
    <w:rsid w:val="00797D9F"/>
    <w:rsid w:val="00797DF0"/>
    <w:rsid w:val="00797E9D"/>
    <w:rsid w:val="007A0241"/>
    <w:rsid w:val="007A0642"/>
    <w:rsid w:val="007A0647"/>
    <w:rsid w:val="007A078E"/>
    <w:rsid w:val="007A07B2"/>
    <w:rsid w:val="007A081D"/>
    <w:rsid w:val="007A093E"/>
    <w:rsid w:val="007A09F3"/>
    <w:rsid w:val="007A0F34"/>
    <w:rsid w:val="007A0F5F"/>
    <w:rsid w:val="007A1086"/>
    <w:rsid w:val="007A120F"/>
    <w:rsid w:val="007A130C"/>
    <w:rsid w:val="007A1475"/>
    <w:rsid w:val="007A189F"/>
    <w:rsid w:val="007A19D7"/>
    <w:rsid w:val="007A1A01"/>
    <w:rsid w:val="007A1B30"/>
    <w:rsid w:val="007A1C2B"/>
    <w:rsid w:val="007A1CEA"/>
    <w:rsid w:val="007A1D9D"/>
    <w:rsid w:val="007A1DDF"/>
    <w:rsid w:val="007A1E3F"/>
    <w:rsid w:val="007A1F45"/>
    <w:rsid w:val="007A1FAA"/>
    <w:rsid w:val="007A2112"/>
    <w:rsid w:val="007A22A6"/>
    <w:rsid w:val="007A2364"/>
    <w:rsid w:val="007A2674"/>
    <w:rsid w:val="007A268F"/>
    <w:rsid w:val="007A2780"/>
    <w:rsid w:val="007A2A17"/>
    <w:rsid w:val="007A2D6B"/>
    <w:rsid w:val="007A2E0C"/>
    <w:rsid w:val="007A2FC5"/>
    <w:rsid w:val="007A2FEC"/>
    <w:rsid w:val="007A31A3"/>
    <w:rsid w:val="007A31D6"/>
    <w:rsid w:val="007A31E1"/>
    <w:rsid w:val="007A3287"/>
    <w:rsid w:val="007A33EB"/>
    <w:rsid w:val="007A3401"/>
    <w:rsid w:val="007A36EC"/>
    <w:rsid w:val="007A373C"/>
    <w:rsid w:val="007A3888"/>
    <w:rsid w:val="007A3A52"/>
    <w:rsid w:val="007A3B94"/>
    <w:rsid w:val="007A3BED"/>
    <w:rsid w:val="007A3BFA"/>
    <w:rsid w:val="007A3CA3"/>
    <w:rsid w:val="007A3D18"/>
    <w:rsid w:val="007A3F53"/>
    <w:rsid w:val="007A4000"/>
    <w:rsid w:val="007A405B"/>
    <w:rsid w:val="007A413B"/>
    <w:rsid w:val="007A4284"/>
    <w:rsid w:val="007A428C"/>
    <w:rsid w:val="007A432B"/>
    <w:rsid w:val="007A448B"/>
    <w:rsid w:val="007A469F"/>
    <w:rsid w:val="007A4859"/>
    <w:rsid w:val="007A49DB"/>
    <w:rsid w:val="007A4CFC"/>
    <w:rsid w:val="007A4EA5"/>
    <w:rsid w:val="007A4FCB"/>
    <w:rsid w:val="007A51EF"/>
    <w:rsid w:val="007A5281"/>
    <w:rsid w:val="007A532C"/>
    <w:rsid w:val="007A53CC"/>
    <w:rsid w:val="007A5546"/>
    <w:rsid w:val="007A559D"/>
    <w:rsid w:val="007A55D8"/>
    <w:rsid w:val="007A56FF"/>
    <w:rsid w:val="007A5749"/>
    <w:rsid w:val="007A579E"/>
    <w:rsid w:val="007A57CD"/>
    <w:rsid w:val="007A58CA"/>
    <w:rsid w:val="007A5AAE"/>
    <w:rsid w:val="007A5AE5"/>
    <w:rsid w:val="007A5F61"/>
    <w:rsid w:val="007A60E1"/>
    <w:rsid w:val="007A615A"/>
    <w:rsid w:val="007A61E6"/>
    <w:rsid w:val="007A63FF"/>
    <w:rsid w:val="007A6478"/>
    <w:rsid w:val="007A64E8"/>
    <w:rsid w:val="007A6567"/>
    <w:rsid w:val="007A678C"/>
    <w:rsid w:val="007A68F5"/>
    <w:rsid w:val="007A6A56"/>
    <w:rsid w:val="007A6AEE"/>
    <w:rsid w:val="007A6B0D"/>
    <w:rsid w:val="007A6BAF"/>
    <w:rsid w:val="007A6C15"/>
    <w:rsid w:val="007A6DB3"/>
    <w:rsid w:val="007A6F59"/>
    <w:rsid w:val="007A6F9E"/>
    <w:rsid w:val="007A702D"/>
    <w:rsid w:val="007A71CA"/>
    <w:rsid w:val="007A73AF"/>
    <w:rsid w:val="007A7507"/>
    <w:rsid w:val="007A756E"/>
    <w:rsid w:val="007A75E3"/>
    <w:rsid w:val="007A771D"/>
    <w:rsid w:val="007A77A7"/>
    <w:rsid w:val="007A77BE"/>
    <w:rsid w:val="007A794C"/>
    <w:rsid w:val="007A7AB9"/>
    <w:rsid w:val="007A7B1B"/>
    <w:rsid w:val="007A7B56"/>
    <w:rsid w:val="007A7CB8"/>
    <w:rsid w:val="007A7D4F"/>
    <w:rsid w:val="007A7D51"/>
    <w:rsid w:val="007A7E64"/>
    <w:rsid w:val="007A7FD9"/>
    <w:rsid w:val="007B005F"/>
    <w:rsid w:val="007B02ED"/>
    <w:rsid w:val="007B037A"/>
    <w:rsid w:val="007B04DD"/>
    <w:rsid w:val="007B04FB"/>
    <w:rsid w:val="007B071D"/>
    <w:rsid w:val="007B08B4"/>
    <w:rsid w:val="007B0B1F"/>
    <w:rsid w:val="007B0B3E"/>
    <w:rsid w:val="007B0E08"/>
    <w:rsid w:val="007B0E52"/>
    <w:rsid w:val="007B0F34"/>
    <w:rsid w:val="007B0F4B"/>
    <w:rsid w:val="007B0F6D"/>
    <w:rsid w:val="007B1116"/>
    <w:rsid w:val="007B11C7"/>
    <w:rsid w:val="007B154B"/>
    <w:rsid w:val="007B16C5"/>
    <w:rsid w:val="007B17BB"/>
    <w:rsid w:val="007B19E0"/>
    <w:rsid w:val="007B1A0C"/>
    <w:rsid w:val="007B1B28"/>
    <w:rsid w:val="007B1B3C"/>
    <w:rsid w:val="007B1D29"/>
    <w:rsid w:val="007B1D47"/>
    <w:rsid w:val="007B1D9F"/>
    <w:rsid w:val="007B1DA1"/>
    <w:rsid w:val="007B21F3"/>
    <w:rsid w:val="007B25C4"/>
    <w:rsid w:val="007B276D"/>
    <w:rsid w:val="007B2773"/>
    <w:rsid w:val="007B28B6"/>
    <w:rsid w:val="007B2A5D"/>
    <w:rsid w:val="007B2AB1"/>
    <w:rsid w:val="007B2BAE"/>
    <w:rsid w:val="007B2BC4"/>
    <w:rsid w:val="007B2BD2"/>
    <w:rsid w:val="007B2D94"/>
    <w:rsid w:val="007B3043"/>
    <w:rsid w:val="007B30AA"/>
    <w:rsid w:val="007B30B5"/>
    <w:rsid w:val="007B35B5"/>
    <w:rsid w:val="007B3602"/>
    <w:rsid w:val="007B377A"/>
    <w:rsid w:val="007B37A6"/>
    <w:rsid w:val="007B37F3"/>
    <w:rsid w:val="007B3898"/>
    <w:rsid w:val="007B38BB"/>
    <w:rsid w:val="007B39F1"/>
    <w:rsid w:val="007B3A97"/>
    <w:rsid w:val="007B3BCC"/>
    <w:rsid w:val="007B3BEF"/>
    <w:rsid w:val="007B3E31"/>
    <w:rsid w:val="007B3E7E"/>
    <w:rsid w:val="007B3F50"/>
    <w:rsid w:val="007B404B"/>
    <w:rsid w:val="007B45C8"/>
    <w:rsid w:val="007B465A"/>
    <w:rsid w:val="007B471A"/>
    <w:rsid w:val="007B474A"/>
    <w:rsid w:val="007B4892"/>
    <w:rsid w:val="007B48F6"/>
    <w:rsid w:val="007B4AAD"/>
    <w:rsid w:val="007B4C3C"/>
    <w:rsid w:val="007B4CE7"/>
    <w:rsid w:val="007B4D5F"/>
    <w:rsid w:val="007B4FB0"/>
    <w:rsid w:val="007B50E6"/>
    <w:rsid w:val="007B559F"/>
    <w:rsid w:val="007B5758"/>
    <w:rsid w:val="007B58A9"/>
    <w:rsid w:val="007B5903"/>
    <w:rsid w:val="007B5917"/>
    <w:rsid w:val="007B5AB9"/>
    <w:rsid w:val="007B5AD5"/>
    <w:rsid w:val="007B5BDF"/>
    <w:rsid w:val="007B5E06"/>
    <w:rsid w:val="007B5E07"/>
    <w:rsid w:val="007B5F07"/>
    <w:rsid w:val="007B5F5B"/>
    <w:rsid w:val="007B5FF1"/>
    <w:rsid w:val="007B60AC"/>
    <w:rsid w:val="007B6120"/>
    <w:rsid w:val="007B614F"/>
    <w:rsid w:val="007B61B1"/>
    <w:rsid w:val="007B6476"/>
    <w:rsid w:val="007B64CC"/>
    <w:rsid w:val="007B6519"/>
    <w:rsid w:val="007B6530"/>
    <w:rsid w:val="007B6568"/>
    <w:rsid w:val="007B658E"/>
    <w:rsid w:val="007B671D"/>
    <w:rsid w:val="007B6778"/>
    <w:rsid w:val="007B6B11"/>
    <w:rsid w:val="007B6D67"/>
    <w:rsid w:val="007B6DBC"/>
    <w:rsid w:val="007B6EB2"/>
    <w:rsid w:val="007B7021"/>
    <w:rsid w:val="007B70EA"/>
    <w:rsid w:val="007B7128"/>
    <w:rsid w:val="007B713F"/>
    <w:rsid w:val="007B7179"/>
    <w:rsid w:val="007B722A"/>
    <w:rsid w:val="007B722E"/>
    <w:rsid w:val="007B72E8"/>
    <w:rsid w:val="007B7394"/>
    <w:rsid w:val="007B73DC"/>
    <w:rsid w:val="007B7453"/>
    <w:rsid w:val="007B7458"/>
    <w:rsid w:val="007B7525"/>
    <w:rsid w:val="007B76FB"/>
    <w:rsid w:val="007B7874"/>
    <w:rsid w:val="007B787B"/>
    <w:rsid w:val="007B787E"/>
    <w:rsid w:val="007B78B1"/>
    <w:rsid w:val="007B78BE"/>
    <w:rsid w:val="007B79FB"/>
    <w:rsid w:val="007B7A11"/>
    <w:rsid w:val="007B7C85"/>
    <w:rsid w:val="007B7D97"/>
    <w:rsid w:val="007C0052"/>
    <w:rsid w:val="007C00B5"/>
    <w:rsid w:val="007C021C"/>
    <w:rsid w:val="007C0499"/>
    <w:rsid w:val="007C04CE"/>
    <w:rsid w:val="007C07C6"/>
    <w:rsid w:val="007C082C"/>
    <w:rsid w:val="007C0832"/>
    <w:rsid w:val="007C088A"/>
    <w:rsid w:val="007C0A47"/>
    <w:rsid w:val="007C0B7E"/>
    <w:rsid w:val="007C0F10"/>
    <w:rsid w:val="007C0F30"/>
    <w:rsid w:val="007C0F47"/>
    <w:rsid w:val="007C0FD5"/>
    <w:rsid w:val="007C0FDE"/>
    <w:rsid w:val="007C1084"/>
    <w:rsid w:val="007C1185"/>
    <w:rsid w:val="007C14B7"/>
    <w:rsid w:val="007C177B"/>
    <w:rsid w:val="007C17E8"/>
    <w:rsid w:val="007C193A"/>
    <w:rsid w:val="007C1B6F"/>
    <w:rsid w:val="007C1CEB"/>
    <w:rsid w:val="007C1DE1"/>
    <w:rsid w:val="007C1E93"/>
    <w:rsid w:val="007C1F43"/>
    <w:rsid w:val="007C2019"/>
    <w:rsid w:val="007C2099"/>
    <w:rsid w:val="007C20F2"/>
    <w:rsid w:val="007C2236"/>
    <w:rsid w:val="007C22E3"/>
    <w:rsid w:val="007C241D"/>
    <w:rsid w:val="007C24AA"/>
    <w:rsid w:val="007C2532"/>
    <w:rsid w:val="007C2573"/>
    <w:rsid w:val="007C2696"/>
    <w:rsid w:val="007C27ED"/>
    <w:rsid w:val="007C2971"/>
    <w:rsid w:val="007C2C77"/>
    <w:rsid w:val="007C2DF8"/>
    <w:rsid w:val="007C2E7B"/>
    <w:rsid w:val="007C2EC1"/>
    <w:rsid w:val="007C2F20"/>
    <w:rsid w:val="007C2FCD"/>
    <w:rsid w:val="007C305D"/>
    <w:rsid w:val="007C3085"/>
    <w:rsid w:val="007C3220"/>
    <w:rsid w:val="007C328C"/>
    <w:rsid w:val="007C33C2"/>
    <w:rsid w:val="007C356C"/>
    <w:rsid w:val="007C36D9"/>
    <w:rsid w:val="007C374B"/>
    <w:rsid w:val="007C38FA"/>
    <w:rsid w:val="007C3C67"/>
    <w:rsid w:val="007C3C9C"/>
    <w:rsid w:val="007C3DC2"/>
    <w:rsid w:val="007C3E34"/>
    <w:rsid w:val="007C3E8D"/>
    <w:rsid w:val="007C3EA0"/>
    <w:rsid w:val="007C3FB7"/>
    <w:rsid w:val="007C4263"/>
    <w:rsid w:val="007C42BD"/>
    <w:rsid w:val="007C4464"/>
    <w:rsid w:val="007C44A2"/>
    <w:rsid w:val="007C4565"/>
    <w:rsid w:val="007C46C8"/>
    <w:rsid w:val="007C4702"/>
    <w:rsid w:val="007C472C"/>
    <w:rsid w:val="007C4762"/>
    <w:rsid w:val="007C487F"/>
    <w:rsid w:val="007C4CD8"/>
    <w:rsid w:val="007C4DED"/>
    <w:rsid w:val="007C4ED0"/>
    <w:rsid w:val="007C4F06"/>
    <w:rsid w:val="007C4FBE"/>
    <w:rsid w:val="007C51B8"/>
    <w:rsid w:val="007C5318"/>
    <w:rsid w:val="007C5364"/>
    <w:rsid w:val="007C55D9"/>
    <w:rsid w:val="007C5659"/>
    <w:rsid w:val="007C5693"/>
    <w:rsid w:val="007C56C1"/>
    <w:rsid w:val="007C57CD"/>
    <w:rsid w:val="007C5877"/>
    <w:rsid w:val="007C5A8E"/>
    <w:rsid w:val="007C5A92"/>
    <w:rsid w:val="007C5B5E"/>
    <w:rsid w:val="007C5BFC"/>
    <w:rsid w:val="007C5CC4"/>
    <w:rsid w:val="007C5D29"/>
    <w:rsid w:val="007C5F9E"/>
    <w:rsid w:val="007C6005"/>
    <w:rsid w:val="007C602D"/>
    <w:rsid w:val="007C603C"/>
    <w:rsid w:val="007C604A"/>
    <w:rsid w:val="007C611D"/>
    <w:rsid w:val="007C6177"/>
    <w:rsid w:val="007C6230"/>
    <w:rsid w:val="007C6390"/>
    <w:rsid w:val="007C63A4"/>
    <w:rsid w:val="007C655C"/>
    <w:rsid w:val="007C65C2"/>
    <w:rsid w:val="007C6601"/>
    <w:rsid w:val="007C6666"/>
    <w:rsid w:val="007C66D2"/>
    <w:rsid w:val="007C6736"/>
    <w:rsid w:val="007C683A"/>
    <w:rsid w:val="007C6EA1"/>
    <w:rsid w:val="007C6FE9"/>
    <w:rsid w:val="007C70DC"/>
    <w:rsid w:val="007C7251"/>
    <w:rsid w:val="007C72D1"/>
    <w:rsid w:val="007C7397"/>
    <w:rsid w:val="007C73A3"/>
    <w:rsid w:val="007C73F0"/>
    <w:rsid w:val="007C776F"/>
    <w:rsid w:val="007C78C6"/>
    <w:rsid w:val="007C7909"/>
    <w:rsid w:val="007C7A44"/>
    <w:rsid w:val="007C7BA8"/>
    <w:rsid w:val="007C7BE6"/>
    <w:rsid w:val="007C7DF8"/>
    <w:rsid w:val="007C7E33"/>
    <w:rsid w:val="007D03C1"/>
    <w:rsid w:val="007D0479"/>
    <w:rsid w:val="007D04EF"/>
    <w:rsid w:val="007D0551"/>
    <w:rsid w:val="007D05C0"/>
    <w:rsid w:val="007D05E9"/>
    <w:rsid w:val="007D0618"/>
    <w:rsid w:val="007D0669"/>
    <w:rsid w:val="007D0913"/>
    <w:rsid w:val="007D0939"/>
    <w:rsid w:val="007D09F1"/>
    <w:rsid w:val="007D0AC4"/>
    <w:rsid w:val="007D0B7C"/>
    <w:rsid w:val="007D0D8B"/>
    <w:rsid w:val="007D0E4A"/>
    <w:rsid w:val="007D0F5B"/>
    <w:rsid w:val="007D1007"/>
    <w:rsid w:val="007D104D"/>
    <w:rsid w:val="007D11A8"/>
    <w:rsid w:val="007D11AF"/>
    <w:rsid w:val="007D130F"/>
    <w:rsid w:val="007D1319"/>
    <w:rsid w:val="007D15D3"/>
    <w:rsid w:val="007D15D9"/>
    <w:rsid w:val="007D167C"/>
    <w:rsid w:val="007D175C"/>
    <w:rsid w:val="007D1A6C"/>
    <w:rsid w:val="007D1C1D"/>
    <w:rsid w:val="007D1CD5"/>
    <w:rsid w:val="007D20EB"/>
    <w:rsid w:val="007D21B8"/>
    <w:rsid w:val="007D239D"/>
    <w:rsid w:val="007D26D3"/>
    <w:rsid w:val="007D272D"/>
    <w:rsid w:val="007D2A8C"/>
    <w:rsid w:val="007D2A9B"/>
    <w:rsid w:val="007D2EC1"/>
    <w:rsid w:val="007D2F77"/>
    <w:rsid w:val="007D3019"/>
    <w:rsid w:val="007D31B5"/>
    <w:rsid w:val="007D32F0"/>
    <w:rsid w:val="007D333B"/>
    <w:rsid w:val="007D33B2"/>
    <w:rsid w:val="007D34B8"/>
    <w:rsid w:val="007D355D"/>
    <w:rsid w:val="007D3582"/>
    <w:rsid w:val="007D36B9"/>
    <w:rsid w:val="007D3852"/>
    <w:rsid w:val="007D392E"/>
    <w:rsid w:val="007D3A85"/>
    <w:rsid w:val="007D3C84"/>
    <w:rsid w:val="007D3D11"/>
    <w:rsid w:val="007D3EAD"/>
    <w:rsid w:val="007D43F8"/>
    <w:rsid w:val="007D4418"/>
    <w:rsid w:val="007D44B5"/>
    <w:rsid w:val="007D45BB"/>
    <w:rsid w:val="007D465C"/>
    <w:rsid w:val="007D4833"/>
    <w:rsid w:val="007D4879"/>
    <w:rsid w:val="007D48CD"/>
    <w:rsid w:val="007D48E9"/>
    <w:rsid w:val="007D49F9"/>
    <w:rsid w:val="007D4A0D"/>
    <w:rsid w:val="007D4AD4"/>
    <w:rsid w:val="007D4B31"/>
    <w:rsid w:val="007D4BA8"/>
    <w:rsid w:val="007D4BC8"/>
    <w:rsid w:val="007D4C41"/>
    <w:rsid w:val="007D4D0D"/>
    <w:rsid w:val="007D4F83"/>
    <w:rsid w:val="007D4FF7"/>
    <w:rsid w:val="007D50EB"/>
    <w:rsid w:val="007D5173"/>
    <w:rsid w:val="007D51A2"/>
    <w:rsid w:val="007D55BC"/>
    <w:rsid w:val="007D5607"/>
    <w:rsid w:val="007D56A9"/>
    <w:rsid w:val="007D56CB"/>
    <w:rsid w:val="007D57BA"/>
    <w:rsid w:val="007D5CCA"/>
    <w:rsid w:val="007D5D49"/>
    <w:rsid w:val="007D5EFC"/>
    <w:rsid w:val="007D5FD3"/>
    <w:rsid w:val="007D6000"/>
    <w:rsid w:val="007D6257"/>
    <w:rsid w:val="007D6287"/>
    <w:rsid w:val="007D63EF"/>
    <w:rsid w:val="007D6699"/>
    <w:rsid w:val="007D66E5"/>
    <w:rsid w:val="007D6771"/>
    <w:rsid w:val="007D6888"/>
    <w:rsid w:val="007D68B9"/>
    <w:rsid w:val="007D6AE0"/>
    <w:rsid w:val="007D6B52"/>
    <w:rsid w:val="007D6B9C"/>
    <w:rsid w:val="007D6BC4"/>
    <w:rsid w:val="007D6C39"/>
    <w:rsid w:val="007D6CC9"/>
    <w:rsid w:val="007D6E2B"/>
    <w:rsid w:val="007D6F2F"/>
    <w:rsid w:val="007D711C"/>
    <w:rsid w:val="007D71BC"/>
    <w:rsid w:val="007D71EC"/>
    <w:rsid w:val="007D7367"/>
    <w:rsid w:val="007D75F7"/>
    <w:rsid w:val="007D7675"/>
    <w:rsid w:val="007D76BC"/>
    <w:rsid w:val="007D76F6"/>
    <w:rsid w:val="007D791F"/>
    <w:rsid w:val="007D7B0D"/>
    <w:rsid w:val="007D7E59"/>
    <w:rsid w:val="007D7E80"/>
    <w:rsid w:val="007D7EDC"/>
    <w:rsid w:val="007D7FB1"/>
    <w:rsid w:val="007E0079"/>
    <w:rsid w:val="007E0105"/>
    <w:rsid w:val="007E01A5"/>
    <w:rsid w:val="007E01E4"/>
    <w:rsid w:val="007E022E"/>
    <w:rsid w:val="007E024B"/>
    <w:rsid w:val="007E02EA"/>
    <w:rsid w:val="007E03CD"/>
    <w:rsid w:val="007E05E8"/>
    <w:rsid w:val="007E0629"/>
    <w:rsid w:val="007E066C"/>
    <w:rsid w:val="007E0A0D"/>
    <w:rsid w:val="007E0AB4"/>
    <w:rsid w:val="007E0AED"/>
    <w:rsid w:val="007E0BC7"/>
    <w:rsid w:val="007E0DB0"/>
    <w:rsid w:val="007E0E76"/>
    <w:rsid w:val="007E0F4A"/>
    <w:rsid w:val="007E113B"/>
    <w:rsid w:val="007E1260"/>
    <w:rsid w:val="007E13BD"/>
    <w:rsid w:val="007E13C9"/>
    <w:rsid w:val="007E1733"/>
    <w:rsid w:val="007E1813"/>
    <w:rsid w:val="007E19CB"/>
    <w:rsid w:val="007E1AD5"/>
    <w:rsid w:val="007E1BB6"/>
    <w:rsid w:val="007E1D45"/>
    <w:rsid w:val="007E1E86"/>
    <w:rsid w:val="007E206C"/>
    <w:rsid w:val="007E213F"/>
    <w:rsid w:val="007E215C"/>
    <w:rsid w:val="007E219B"/>
    <w:rsid w:val="007E231A"/>
    <w:rsid w:val="007E23C5"/>
    <w:rsid w:val="007E2505"/>
    <w:rsid w:val="007E26CD"/>
    <w:rsid w:val="007E27AF"/>
    <w:rsid w:val="007E2AF6"/>
    <w:rsid w:val="007E2CDF"/>
    <w:rsid w:val="007E2CE1"/>
    <w:rsid w:val="007E2E21"/>
    <w:rsid w:val="007E2E40"/>
    <w:rsid w:val="007E2F32"/>
    <w:rsid w:val="007E2FAE"/>
    <w:rsid w:val="007E303B"/>
    <w:rsid w:val="007E321D"/>
    <w:rsid w:val="007E3425"/>
    <w:rsid w:val="007E34B4"/>
    <w:rsid w:val="007E36A5"/>
    <w:rsid w:val="007E38C8"/>
    <w:rsid w:val="007E38D3"/>
    <w:rsid w:val="007E391E"/>
    <w:rsid w:val="007E3A45"/>
    <w:rsid w:val="007E3B7E"/>
    <w:rsid w:val="007E3BD6"/>
    <w:rsid w:val="007E3CBB"/>
    <w:rsid w:val="007E3D26"/>
    <w:rsid w:val="007E3D46"/>
    <w:rsid w:val="007E3D9B"/>
    <w:rsid w:val="007E3DEA"/>
    <w:rsid w:val="007E3FD0"/>
    <w:rsid w:val="007E4073"/>
    <w:rsid w:val="007E40C2"/>
    <w:rsid w:val="007E4206"/>
    <w:rsid w:val="007E44A5"/>
    <w:rsid w:val="007E481B"/>
    <w:rsid w:val="007E48A1"/>
    <w:rsid w:val="007E49E7"/>
    <w:rsid w:val="007E4A95"/>
    <w:rsid w:val="007E4BC3"/>
    <w:rsid w:val="007E4E38"/>
    <w:rsid w:val="007E4E6A"/>
    <w:rsid w:val="007E4FC4"/>
    <w:rsid w:val="007E4FD5"/>
    <w:rsid w:val="007E518C"/>
    <w:rsid w:val="007E522B"/>
    <w:rsid w:val="007E524A"/>
    <w:rsid w:val="007E5296"/>
    <w:rsid w:val="007E52BC"/>
    <w:rsid w:val="007E539E"/>
    <w:rsid w:val="007E53AD"/>
    <w:rsid w:val="007E5407"/>
    <w:rsid w:val="007E54D4"/>
    <w:rsid w:val="007E54DC"/>
    <w:rsid w:val="007E561C"/>
    <w:rsid w:val="007E56CF"/>
    <w:rsid w:val="007E5895"/>
    <w:rsid w:val="007E5E5E"/>
    <w:rsid w:val="007E5E71"/>
    <w:rsid w:val="007E5E78"/>
    <w:rsid w:val="007E5E9E"/>
    <w:rsid w:val="007E5FC0"/>
    <w:rsid w:val="007E6071"/>
    <w:rsid w:val="007E6082"/>
    <w:rsid w:val="007E60C3"/>
    <w:rsid w:val="007E60FC"/>
    <w:rsid w:val="007E6195"/>
    <w:rsid w:val="007E6255"/>
    <w:rsid w:val="007E627D"/>
    <w:rsid w:val="007E63D3"/>
    <w:rsid w:val="007E65A1"/>
    <w:rsid w:val="007E6930"/>
    <w:rsid w:val="007E69F2"/>
    <w:rsid w:val="007E6A8D"/>
    <w:rsid w:val="007E6DB4"/>
    <w:rsid w:val="007E6FF6"/>
    <w:rsid w:val="007E7084"/>
    <w:rsid w:val="007E70C3"/>
    <w:rsid w:val="007E7317"/>
    <w:rsid w:val="007E741B"/>
    <w:rsid w:val="007E7426"/>
    <w:rsid w:val="007E74E8"/>
    <w:rsid w:val="007E7628"/>
    <w:rsid w:val="007E7661"/>
    <w:rsid w:val="007E77B0"/>
    <w:rsid w:val="007E77D2"/>
    <w:rsid w:val="007E77ED"/>
    <w:rsid w:val="007E79D6"/>
    <w:rsid w:val="007E7A99"/>
    <w:rsid w:val="007E7F1B"/>
    <w:rsid w:val="007E7FD1"/>
    <w:rsid w:val="007F0131"/>
    <w:rsid w:val="007F01DB"/>
    <w:rsid w:val="007F03B9"/>
    <w:rsid w:val="007F05AB"/>
    <w:rsid w:val="007F05C1"/>
    <w:rsid w:val="007F0787"/>
    <w:rsid w:val="007F0A50"/>
    <w:rsid w:val="007F0A71"/>
    <w:rsid w:val="007F0A84"/>
    <w:rsid w:val="007F0A8A"/>
    <w:rsid w:val="007F0B3B"/>
    <w:rsid w:val="007F0C23"/>
    <w:rsid w:val="007F0C7A"/>
    <w:rsid w:val="007F0E28"/>
    <w:rsid w:val="007F0E47"/>
    <w:rsid w:val="007F0EF6"/>
    <w:rsid w:val="007F0F9A"/>
    <w:rsid w:val="007F1024"/>
    <w:rsid w:val="007F12CB"/>
    <w:rsid w:val="007F149A"/>
    <w:rsid w:val="007F15CA"/>
    <w:rsid w:val="007F16DB"/>
    <w:rsid w:val="007F17E8"/>
    <w:rsid w:val="007F183F"/>
    <w:rsid w:val="007F18D0"/>
    <w:rsid w:val="007F18FC"/>
    <w:rsid w:val="007F1929"/>
    <w:rsid w:val="007F1A2C"/>
    <w:rsid w:val="007F1CF5"/>
    <w:rsid w:val="007F1D2D"/>
    <w:rsid w:val="007F1E57"/>
    <w:rsid w:val="007F1FDE"/>
    <w:rsid w:val="007F2011"/>
    <w:rsid w:val="007F21B7"/>
    <w:rsid w:val="007F2506"/>
    <w:rsid w:val="007F252E"/>
    <w:rsid w:val="007F254A"/>
    <w:rsid w:val="007F2553"/>
    <w:rsid w:val="007F266E"/>
    <w:rsid w:val="007F27C6"/>
    <w:rsid w:val="007F2A2D"/>
    <w:rsid w:val="007F2C13"/>
    <w:rsid w:val="007F2C3A"/>
    <w:rsid w:val="007F2C5B"/>
    <w:rsid w:val="007F2D33"/>
    <w:rsid w:val="007F312A"/>
    <w:rsid w:val="007F32A6"/>
    <w:rsid w:val="007F342F"/>
    <w:rsid w:val="007F3578"/>
    <w:rsid w:val="007F358E"/>
    <w:rsid w:val="007F35CB"/>
    <w:rsid w:val="007F35F8"/>
    <w:rsid w:val="007F3667"/>
    <w:rsid w:val="007F366F"/>
    <w:rsid w:val="007F36A6"/>
    <w:rsid w:val="007F37EE"/>
    <w:rsid w:val="007F3903"/>
    <w:rsid w:val="007F3CC5"/>
    <w:rsid w:val="007F3DB8"/>
    <w:rsid w:val="007F3E46"/>
    <w:rsid w:val="007F3E5D"/>
    <w:rsid w:val="007F3E6B"/>
    <w:rsid w:val="007F3F38"/>
    <w:rsid w:val="007F401C"/>
    <w:rsid w:val="007F40F7"/>
    <w:rsid w:val="007F43D2"/>
    <w:rsid w:val="007F43D3"/>
    <w:rsid w:val="007F440F"/>
    <w:rsid w:val="007F441C"/>
    <w:rsid w:val="007F449E"/>
    <w:rsid w:val="007F44EA"/>
    <w:rsid w:val="007F46DB"/>
    <w:rsid w:val="007F4934"/>
    <w:rsid w:val="007F4A1E"/>
    <w:rsid w:val="007F4BB8"/>
    <w:rsid w:val="007F4C4D"/>
    <w:rsid w:val="007F4C79"/>
    <w:rsid w:val="007F4F30"/>
    <w:rsid w:val="007F4FEB"/>
    <w:rsid w:val="007F5091"/>
    <w:rsid w:val="007F50C7"/>
    <w:rsid w:val="007F54F3"/>
    <w:rsid w:val="007F5514"/>
    <w:rsid w:val="007F5568"/>
    <w:rsid w:val="007F55A2"/>
    <w:rsid w:val="007F5689"/>
    <w:rsid w:val="007F58DC"/>
    <w:rsid w:val="007F58E2"/>
    <w:rsid w:val="007F5965"/>
    <w:rsid w:val="007F5A8B"/>
    <w:rsid w:val="007F5BCE"/>
    <w:rsid w:val="007F5D15"/>
    <w:rsid w:val="007F5F29"/>
    <w:rsid w:val="007F6041"/>
    <w:rsid w:val="007F62DB"/>
    <w:rsid w:val="007F630B"/>
    <w:rsid w:val="007F6727"/>
    <w:rsid w:val="007F6771"/>
    <w:rsid w:val="007F6834"/>
    <w:rsid w:val="007F696D"/>
    <w:rsid w:val="007F6A0F"/>
    <w:rsid w:val="007F6A4C"/>
    <w:rsid w:val="007F6B61"/>
    <w:rsid w:val="007F6B62"/>
    <w:rsid w:val="007F6C47"/>
    <w:rsid w:val="007F6C7E"/>
    <w:rsid w:val="007F6CE7"/>
    <w:rsid w:val="007F6F5D"/>
    <w:rsid w:val="007F7017"/>
    <w:rsid w:val="007F701B"/>
    <w:rsid w:val="007F70E6"/>
    <w:rsid w:val="007F7252"/>
    <w:rsid w:val="007F7278"/>
    <w:rsid w:val="007F72AE"/>
    <w:rsid w:val="007F7493"/>
    <w:rsid w:val="007F7540"/>
    <w:rsid w:val="007F75BE"/>
    <w:rsid w:val="007F7973"/>
    <w:rsid w:val="007F7B95"/>
    <w:rsid w:val="007F7BB4"/>
    <w:rsid w:val="007F7C9E"/>
    <w:rsid w:val="007F7FA5"/>
    <w:rsid w:val="008000D1"/>
    <w:rsid w:val="0080034D"/>
    <w:rsid w:val="00800427"/>
    <w:rsid w:val="0080048B"/>
    <w:rsid w:val="008004D9"/>
    <w:rsid w:val="0080050B"/>
    <w:rsid w:val="00800700"/>
    <w:rsid w:val="008007C7"/>
    <w:rsid w:val="008007CA"/>
    <w:rsid w:val="0080096C"/>
    <w:rsid w:val="00801099"/>
    <w:rsid w:val="00801105"/>
    <w:rsid w:val="0080136A"/>
    <w:rsid w:val="00801392"/>
    <w:rsid w:val="00801533"/>
    <w:rsid w:val="0080165E"/>
    <w:rsid w:val="008017E3"/>
    <w:rsid w:val="00801C5E"/>
    <w:rsid w:val="00801C67"/>
    <w:rsid w:val="00801CCA"/>
    <w:rsid w:val="00801D64"/>
    <w:rsid w:val="00801E65"/>
    <w:rsid w:val="00801EFC"/>
    <w:rsid w:val="00801F0F"/>
    <w:rsid w:val="008020CC"/>
    <w:rsid w:val="008021D2"/>
    <w:rsid w:val="008021EA"/>
    <w:rsid w:val="00802322"/>
    <w:rsid w:val="00802471"/>
    <w:rsid w:val="0080260F"/>
    <w:rsid w:val="0080273D"/>
    <w:rsid w:val="0080278B"/>
    <w:rsid w:val="008027E6"/>
    <w:rsid w:val="0080280A"/>
    <w:rsid w:val="00802826"/>
    <w:rsid w:val="00802884"/>
    <w:rsid w:val="00802978"/>
    <w:rsid w:val="008029C0"/>
    <w:rsid w:val="008029D4"/>
    <w:rsid w:val="00802B2E"/>
    <w:rsid w:val="00802B7D"/>
    <w:rsid w:val="00802BEF"/>
    <w:rsid w:val="00802C0B"/>
    <w:rsid w:val="00802CF5"/>
    <w:rsid w:val="00802E0C"/>
    <w:rsid w:val="00802F28"/>
    <w:rsid w:val="00803200"/>
    <w:rsid w:val="00803264"/>
    <w:rsid w:val="0080332D"/>
    <w:rsid w:val="008033F6"/>
    <w:rsid w:val="00803542"/>
    <w:rsid w:val="008035B5"/>
    <w:rsid w:val="00803765"/>
    <w:rsid w:val="00803830"/>
    <w:rsid w:val="0080387B"/>
    <w:rsid w:val="008038A2"/>
    <w:rsid w:val="0080393F"/>
    <w:rsid w:val="00803969"/>
    <w:rsid w:val="00803C9A"/>
    <w:rsid w:val="00803D50"/>
    <w:rsid w:val="00803D97"/>
    <w:rsid w:val="00803DD0"/>
    <w:rsid w:val="00803E16"/>
    <w:rsid w:val="00803E2B"/>
    <w:rsid w:val="00803E30"/>
    <w:rsid w:val="00803E4D"/>
    <w:rsid w:val="00803EC8"/>
    <w:rsid w:val="00803F0C"/>
    <w:rsid w:val="00803F56"/>
    <w:rsid w:val="008040D5"/>
    <w:rsid w:val="00804490"/>
    <w:rsid w:val="008046C0"/>
    <w:rsid w:val="008046D4"/>
    <w:rsid w:val="0080473E"/>
    <w:rsid w:val="00804819"/>
    <w:rsid w:val="008048AF"/>
    <w:rsid w:val="008049D9"/>
    <w:rsid w:val="00804A40"/>
    <w:rsid w:val="00804AB9"/>
    <w:rsid w:val="00804BF7"/>
    <w:rsid w:val="00804C5D"/>
    <w:rsid w:val="00804CC4"/>
    <w:rsid w:val="00804CEB"/>
    <w:rsid w:val="008052B1"/>
    <w:rsid w:val="0080549E"/>
    <w:rsid w:val="008054ED"/>
    <w:rsid w:val="0080560F"/>
    <w:rsid w:val="00805683"/>
    <w:rsid w:val="008056E2"/>
    <w:rsid w:val="0080580C"/>
    <w:rsid w:val="00805890"/>
    <w:rsid w:val="00805891"/>
    <w:rsid w:val="00805919"/>
    <w:rsid w:val="008059EF"/>
    <w:rsid w:val="00805AD0"/>
    <w:rsid w:val="00805BDF"/>
    <w:rsid w:val="00805CC0"/>
    <w:rsid w:val="00805D1B"/>
    <w:rsid w:val="00805E74"/>
    <w:rsid w:val="00805EBD"/>
    <w:rsid w:val="00805EC9"/>
    <w:rsid w:val="00805EDD"/>
    <w:rsid w:val="00806155"/>
    <w:rsid w:val="00806251"/>
    <w:rsid w:val="008062F4"/>
    <w:rsid w:val="008063AF"/>
    <w:rsid w:val="00806432"/>
    <w:rsid w:val="008065DF"/>
    <w:rsid w:val="008067A8"/>
    <w:rsid w:val="0080695A"/>
    <w:rsid w:val="008069A1"/>
    <w:rsid w:val="008069D6"/>
    <w:rsid w:val="00806BF4"/>
    <w:rsid w:val="00806CBD"/>
    <w:rsid w:val="00806D2C"/>
    <w:rsid w:val="00806DFA"/>
    <w:rsid w:val="00806E16"/>
    <w:rsid w:val="0080706C"/>
    <w:rsid w:val="0080712A"/>
    <w:rsid w:val="00807189"/>
    <w:rsid w:val="008071CB"/>
    <w:rsid w:val="00807249"/>
    <w:rsid w:val="008072C4"/>
    <w:rsid w:val="00807415"/>
    <w:rsid w:val="00807492"/>
    <w:rsid w:val="0080763B"/>
    <w:rsid w:val="00807697"/>
    <w:rsid w:val="00807904"/>
    <w:rsid w:val="00807ADF"/>
    <w:rsid w:val="00807D23"/>
    <w:rsid w:val="00807D94"/>
    <w:rsid w:val="00807DBE"/>
    <w:rsid w:val="00807E24"/>
    <w:rsid w:val="00807E3A"/>
    <w:rsid w:val="00807F81"/>
    <w:rsid w:val="00810014"/>
    <w:rsid w:val="0081010F"/>
    <w:rsid w:val="00810157"/>
    <w:rsid w:val="00810190"/>
    <w:rsid w:val="0081019D"/>
    <w:rsid w:val="008101AA"/>
    <w:rsid w:val="00810290"/>
    <w:rsid w:val="008103F0"/>
    <w:rsid w:val="00810401"/>
    <w:rsid w:val="008106BD"/>
    <w:rsid w:val="00810ABE"/>
    <w:rsid w:val="00810C16"/>
    <w:rsid w:val="00810C1B"/>
    <w:rsid w:val="00810C44"/>
    <w:rsid w:val="00810CCA"/>
    <w:rsid w:val="00810D03"/>
    <w:rsid w:val="00810D5E"/>
    <w:rsid w:val="00810F73"/>
    <w:rsid w:val="00810F9E"/>
    <w:rsid w:val="0081115E"/>
    <w:rsid w:val="008111C9"/>
    <w:rsid w:val="00811210"/>
    <w:rsid w:val="0081136D"/>
    <w:rsid w:val="008113EF"/>
    <w:rsid w:val="0081145E"/>
    <w:rsid w:val="008114E3"/>
    <w:rsid w:val="00811596"/>
    <w:rsid w:val="00811727"/>
    <w:rsid w:val="008117CF"/>
    <w:rsid w:val="008118B4"/>
    <w:rsid w:val="00811B26"/>
    <w:rsid w:val="00811B97"/>
    <w:rsid w:val="00811D63"/>
    <w:rsid w:val="00811F5C"/>
    <w:rsid w:val="00811FE9"/>
    <w:rsid w:val="00812075"/>
    <w:rsid w:val="00812170"/>
    <w:rsid w:val="008122C7"/>
    <w:rsid w:val="008124C8"/>
    <w:rsid w:val="0081251D"/>
    <w:rsid w:val="00812D17"/>
    <w:rsid w:val="00812DE8"/>
    <w:rsid w:val="00812E68"/>
    <w:rsid w:val="00812EEF"/>
    <w:rsid w:val="00812EF9"/>
    <w:rsid w:val="00812F4A"/>
    <w:rsid w:val="00813023"/>
    <w:rsid w:val="00813114"/>
    <w:rsid w:val="0081340E"/>
    <w:rsid w:val="00813494"/>
    <w:rsid w:val="00813687"/>
    <w:rsid w:val="00813785"/>
    <w:rsid w:val="0081390D"/>
    <w:rsid w:val="0081398D"/>
    <w:rsid w:val="008139C8"/>
    <w:rsid w:val="00813C4B"/>
    <w:rsid w:val="00813C5E"/>
    <w:rsid w:val="00813D5E"/>
    <w:rsid w:val="00813F0E"/>
    <w:rsid w:val="00813F25"/>
    <w:rsid w:val="00813F9C"/>
    <w:rsid w:val="0081406D"/>
    <w:rsid w:val="008140A5"/>
    <w:rsid w:val="00814282"/>
    <w:rsid w:val="00814361"/>
    <w:rsid w:val="00814372"/>
    <w:rsid w:val="008143BB"/>
    <w:rsid w:val="00814602"/>
    <w:rsid w:val="0081483A"/>
    <w:rsid w:val="00814981"/>
    <w:rsid w:val="00814B9A"/>
    <w:rsid w:val="00814C4B"/>
    <w:rsid w:val="00814C51"/>
    <w:rsid w:val="00814CCA"/>
    <w:rsid w:val="00814D12"/>
    <w:rsid w:val="00814D9B"/>
    <w:rsid w:val="00815093"/>
    <w:rsid w:val="008150DA"/>
    <w:rsid w:val="0081511B"/>
    <w:rsid w:val="00815170"/>
    <w:rsid w:val="008152C2"/>
    <w:rsid w:val="0081531D"/>
    <w:rsid w:val="00815337"/>
    <w:rsid w:val="0081536A"/>
    <w:rsid w:val="00815391"/>
    <w:rsid w:val="00815478"/>
    <w:rsid w:val="008156AE"/>
    <w:rsid w:val="008157B4"/>
    <w:rsid w:val="00815870"/>
    <w:rsid w:val="00815942"/>
    <w:rsid w:val="00815A3E"/>
    <w:rsid w:val="00815A67"/>
    <w:rsid w:val="00815CA2"/>
    <w:rsid w:val="00815E3C"/>
    <w:rsid w:val="00816049"/>
    <w:rsid w:val="00816135"/>
    <w:rsid w:val="008161BB"/>
    <w:rsid w:val="00816358"/>
    <w:rsid w:val="00816457"/>
    <w:rsid w:val="00816505"/>
    <w:rsid w:val="00816509"/>
    <w:rsid w:val="00816565"/>
    <w:rsid w:val="0081656A"/>
    <w:rsid w:val="00816614"/>
    <w:rsid w:val="0081667D"/>
    <w:rsid w:val="008166DA"/>
    <w:rsid w:val="0081679B"/>
    <w:rsid w:val="008167E7"/>
    <w:rsid w:val="0081681A"/>
    <w:rsid w:val="0081687E"/>
    <w:rsid w:val="008169D2"/>
    <w:rsid w:val="00816B17"/>
    <w:rsid w:val="00816B42"/>
    <w:rsid w:val="00816B7D"/>
    <w:rsid w:val="00816BF4"/>
    <w:rsid w:val="00816CFD"/>
    <w:rsid w:val="00816F48"/>
    <w:rsid w:val="00816FA0"/>
    <w:rsid w:val="008171FB"/>
    <w:rsid w:val="0081727A"/>
    <w:rsid w:val="0081755D"/>
    <w:rsid w:val="0081759F"/>
    <w:rsid w:val="008175DB"/>
    <w:rsid w:val="00817760"/>
    <w:rsid w:val="008177C0"/>
    <w:rsid w:val="00817888"/>
    <w:rsid w:val="008179A8"/>
    <w:rsid w:val="00817A89"/>
    <w:rsid w:val="00817A8E"/>
    <w:rsid w:val="00817B6A"/>
    <w:rsid w:val="00817CD7"/>
    <w:rsid w:val="00817CDC"/>
    <w:rsid w:val="00817D33"/>
    <w:rsid w:val="00820000"/>
    <w:rsid w:val="00820180"/>
    <w:rsid w:val="0082018D"/>
    <w:rsid w:val="00820214"/>
    <w:rsid w:val="00820347"/>
    <w:rsid w:val="0082039A"/>
    <w:rsid w:val="0082043D"/>
    <w:rsid w:val="00820636"/>
    <w:rsid w:val="00820778"/>
    <w:rsid w:val="00820792"/>
    <w:rsid w:val="008209A4"/>
    <w:rsid w:val="008209BC"/>
    <w:rsid w:val="00820ABE"/>
    <w:rsid w:val="00820F76"/>
    <w:rsid w:val="00821195"/>
    <w:rsid w:val="0082125D"/>
    <w:rsid w:val="008212D8"/>
    <w:rsid w:val="0082134F"/>
    <w:rsid w:val="00821402"/>
    <w:rsid w:val="008214BB"/>
    <w:rsid w:val="00821516"/>
    <w:rsid w:val="008215F1"/>
    <w:rsid w:val="0082160E"/>
    <w:rsid w:val="008218D9"/>
    <w:rsid w:val="00821987"/>
    <w:rsid w:val="008219C2"/>
    <w:rsid w:val="00821A8F"/>
    <w:rsid w:val="00821C84"/>
    <w:rsid w:val="00821EF8"/>
    <w:rsid w:val="00821F84"/>
    <w:rsid w:val="00821FC2"/>
    <w:rsid w:val="00822019"/>
    <w:rsid w:val="008226C1"/>
    <w:rsid w:val="008226E0"/>
    <w:rsid w:val="008227F8"/>
    <w:rsid w:val="00822855"/>
    <w:rsid w:val="00822A0F"/>
    <w:rsid w:val="00822BE2"/>
    <w:rsid w:val="00822CAE"/>
    <w:rsid w:val="00822CBD"/>
    <w:rsid w:val="00822D98"/>
    <w:rsid w:val="0082318B"/>
    <w:rsid w:val="0082320B"/>
    <w:rsid w:val="00823233"/>
    <w:rsid w:val="00823242"/>
    <w:rsid w:val="00823279"/>
    <w:rsid w:val="0082327B"/>
    <w:rsid w:val="008232AF"/>
    <w:rsid w:val="0082338B"/>
    <w:rsid w:val="008233BC"/>
    <w:rsid w:val="0082346D"/>
    <w:rsid w:val="008234E4"/>
    <w:rsid w:val="008234EB"/>
    <w:rsid w:val="00823757"/>
    <w:rsid w:val="00823833"/>
    <w:rsid w:val="00823A98"/>
    <w:rsid w:val="00823C41"/>
    <w:rsid w:val="00823D49"/>
    <w:rsid w:val="00823D6C"/>
    <w:rsid w:val="00823D88"/>
    <w:rsid w:val="00823E8B"/>
    <w:rsid w:val="00823EEE"/>
    <w:rsid w:val="00823EF1"/>
    <w:rsid w:val="0082407A"/>
    <w:rsid w:val="00824533"/>
    <w:rsid w:val="00824721"/>
    <w:rsid w:val="008248F2"/>
    <w:rsid w:val="00824998"/>
    <w:rsid w:val="00824A0A"/>
    <w:rsid w:val="00824BB8"/>
    <w:rsid w:val="00824C58"/>
    <w:rsid w:val="00824E92"/>
    <w:rsid w:val="00824E9A"/>
    <w:rsid w:val="00824F15"/>
    <w:rsid w:val="00824F50"/>
    <w:rsid w:val="00825044"/>
    <w:rsid w:val="00825146"/>
    <w:rsid w:val="00825246"/>
    <w:rsid w:val="008254D2"/>
    <w:rsid w:val="008255C8"/>
    <w:rsid w:val="00825652"/>
    <w:rsid w:val="00825776"/>
    <w:rsid w:val="0082582A"/>
    <w:rsid w:val="0082585F"/>
    <w:rsid w:val="008258E7"/>
    <w:rsid w:val="008259F7"/>
    <w:rsid w:val="00825B0D"/>
    <w:rsid w:val="00825B5C"/>
    <w:rsid w:val="00825D3B"/>
    <w:rsid w:val="00825ECB"/>
    <w:rsid w:val="00825F2E"/>
    <w:rsid w:val="0082605A"/>
    <w:rsid w:val="00826176"/>
    <w:rsid w:val="00826281"/>
    <w:rsid w:val="00826288"/>
    <w:rsid w:val="008266DF"/>
    <w:rsid w:val="00826819"/>
    <w:rsid w:val="008268F5"/>
    <w:rsid w:val="00826943"/>
    <w:rsid w:val="00826AC8"/>
    <w:rsid w:val="00826CB9"/>
    <w:rsid w:val="00826D10"/>
    <w:rsid w:val="00826E69"/>
    <w:rsid w:val="00826E6E"/>
    <w:rsid w:val="00826EC4"/>
    <w:rsid w:val="008270DE"/>
    <w:rsid w:val="0082712D"/>
    <w:rsid w:val="00827191"/>
    <w:rsid w:val="008271AF"/>
    <w:rsid w:val="00827264"/>
    <w:rsid w:val="0082737F"/>
    <w:rsid w:val="008273A0"/>
    <w:rsid w:val="00827554"/>
    <w:rsid w:val="008275EB"/>
    <w:rsid w:val="0082765B"/>
    <w:rsid w:val="00827AC0"/>
    <w:rsid w:val="00827B5A"/>
    <w:rsid w:val="00827CD0"/>
    <w:rsid w:val="008301EF"/>
    <w:rsid w:val="00830569"/>
    <w:rsid w:val="008305B1"/>
    <w:rsid w:val="008305D5"/>
    <w:rsid w:val="00830612"/>
    <w:rsid w:val="00830673"/>
    <w:rsid w:val="00830B0A"/>
    <w:rsid w:val="00830B2B"/>
    <w:rsid w:val="00830BC3"/>
    <w:rsid w:val="00830C1A"/>
    <w:rsid w:val="00830CE5"/>
    <w:rsid w:val="00830CFD"/>
    <w:rsid w:val="00830CFE"/>
    <w:rsid w:val="00830DBE"/>
    <w:rsid w:val="00830EAB"/>
    <w:rsid w:val="00830F41"/>
    <w:rsid w:val="00831075"/>
    <w:rsid w:val="00831116"/>
    <w:rsid w:val="0083139C"/>
    <w:rsid w:val="00831436"/>
    <w:rsid w:val="008314DB"/>
    <w:rsid w:val="00831554"/>
    <w:rsid w:val="0083167A"/>
    <w:rsid w:val="008317C9"/>
    <w:rsid w:val="008317FD"/>
    <w:rsid w:val="00831970"/>
    <w:rsid w:val="00831A9A"/>
    <w:rsid w:val="00831AD1"/>
    <w:rsid w:val="00831C9A"/>
    <w:rsid w:val="00831D1A"/>
    <w:rsid w:val="00831E8D"/>
    <w:rsid w:val="008320BB"/>
    <w:rsid w:val="0083210A"/>
    <w:rsid w:val="008321AF"/>
    <w:rsid w:val="008321CB"/>
    <w:rsid w:val="00832329"/>
    <w:rsid w:val="0083254D"/>
    <w:rsid w:val="00832654"/>
    <w:rsid w:val="00832676"/>
    <w:rsid w:val="00832791"/>
    <w:rsid w:val="008327AB"/>
    <w:rsid w:val="0083284F"/>
    <w:rsid w:val="00832891"/>
    <w:rsid w:val="00832943"/>
    <w:rsid w:val="00832B8D"/>
    <w:rsid w:val="00832BDE"/>
    <w:rsid w:val="00832E7C"/>
    <w:rsid w:val="00833017"/>
    <w:rsid w:val="00833202"/>
    <w:rsid w:val="0083325F"/>
    <w:rsid w:val="0083349F"/>
    <w:rsid w:val="0083350A"/>
    <w:rsid w:val="00833663"/>
    <w:rsid w:val="00833A08"/>
    <w:rsid w:val="00833A6A"/>
    <w:rsid w:val="00833B4F"/>
    <w:rsid w:val="00833D18"/>
    <w:rsid w:val="0083401B"/>
    <w:rsid w:val="00834061"/>
    <w:rsid w:val="0083409D"/>
    <w:rsid w:val="008340C8"/>
    <w:rsid w:val="008342C7"/>
    <w:rsid w:val="00834329"/>
    <w:rsid w:val="0083448C"/>
    <w:rsid w:val="00834671"/>
    <w:rsid w:val="008346B9"/>
    <w:rsid w:val="00834854"/>
    <w:rsid w:val="008348B1"/>
    <w:rsid w:val="0083490F"/>
    <w:rsid w:val="00834B16"/>
    <w:rsid w:val="00834B56"/>
    <w:rsid w:val="00834CCC"/>
    <w:rsid w:val="00834D85"/>
    <w:rsid w:val="00835030"/>
    <w:rsid w:val="008352C6"/>
    <w:rsid w:val="00835307"/>
    <w:rsid w:val="0083534D"/>
    <w:rsid w:val="008358E3"/>
    <w:rsid w:val="00835945"/>
    <w:rsid w:val="00835A40"/>
    <w:rsid w:val="00835BAB"/>
    <w:rsid w:val="00835CAB"/>
    <w:rsid w:val="00835E95"/>
    <w:rsid w:val="00835F51"/>
    <w:rsid w:val="00835F67"/>
    <w:rsid w:val="008360D7"/>
    <w:rsid w:val="008360EC"/>
    <w:rsid w:val="008361C6"/>
    <w:rsid w:val="008362DB"/>
    <w:rsid w:val="00836342"/>
    <w:rsid w:val="0083635C"/>
    <w:rsid w:val="0083681D"/>
    <w:rsid w:val="0083685C"/>
    <w:rsid w:val="008368A5"/>
    <w:rsid w:val="00836985"/>
    <w:rsid w:val="00836A57"/>
    <w:rsid w:val="00836A8C"/>
    <w:rsid w:val="00836AFB"/>
    <w:rsid w:val="00836C68"/>
    <w:rsid w:val="00836C9D"/>
    <w:rsid w:val="00836CD9"/>
    <w:rsid w:val="00836CF1"/>
    <w:rsid w:val="00836E03"/>
    <w:rsid w:val="00836F8C"/>
    <w:rsid w:val="00837234"/>
    <w:rsid w:val="008372E6"/>
    <w:rsid w:val="00837376"/>
    <w:rsid w:val="008373EB"/>
    <w:rsid w:val="0083747C"/>
    <w:rsid w:val="008374AB"/>
    <w:rsid w:val="008374FA"/>
    <w:rsid w:val="00837598"/>
    <w:rsid w:val="00837766"/>
    <w:rsid w:val="00837A79"/>
    <w:rsid w:val="00837B59"/>
    <w:rsid w:val="00837C43"/>
    <w:rsid w:val="00837C84"/>
    <w:rsid w:val="00840168"/>
    <w:rsid w:val="008405F4"/>
    <w:rsid w:val="0084063D"/>
    <w:rsid w:val="00840729"/>
    <w:rsid w:val="0084078D"/>
    <w:rsid w:val="008407DA"/>
    <w:rsid w:val="00840981"/>
    <w:rsid w:val="00840D08"/>
    <w:rsid w:val="00840D7F"/>
    <w:rsid w:val="00840E60"/>
    <w:rsid w:val="00840E84"/>
    <w:rsid w:val="00841165"/>
    <w:rsid w:val="008412B7"/>
    <w:rsid w:val="008412D6"/>
    <w:rsid w:val="00841310"/>
    <w:rsid w:val="008413B5"/>
    <w:rsid w:val="008413F6"/>
    <w:rsid w:val="008415A7"/>
    <w:rsid w:val="00841745"/>
    <w:rsid w:val="00841944"/>
    <w:rsid w:val="00841C21"/>
    <w:rsid w:val="00841CDC"/>
    <w:rsid w:val="00841D97"/>
    <w:rsid w:val="00841DDE"/>
    <w:rsid w:val="00841DED"/>
    <w:rsid w:val="00841E96"/>
    <w:rsid w:val="00841F4B"/>
    <w:rsid w:val="00841F5D"/>
    <w:rsid w:val="008420B8"/>
    <w:rsid w:val="0084228B"/>
    <w:rsid w:val="00842361"/>
    <w:rsid w:val="008424A2"/>
    <w:rsid w:val="008425A9"/>
    <w:rsid w:val="0084261D"/>
    <w:rsid w:val="00842668"/>
    <w:rsid w:val="00842873"/>
    <w:rsid w:val="00842874"/>
    <w:rsid w:val="00842877"/>
    <w:rsid w:val="00842B24"/>
    <w:rsid w:val="00842D1D"/>
    <w:rsid w:val="00842D2B"/>
    <w:rsid w:val="00842EB9"/>
    <w:rsid w:val="00842EEA"/>
    <w:rsid w:val="00842F9E"/>
    <w:rsid w:val="00842FB2"/>
    <w:rsid w:val="00842FE5"/>
    <w:rsid w:val="00843060"/>
    <w:rsid w:val="00843149"/>
    <w:rsid w:val="0084334F"/>
    <w:rsid w:val="0084336D"/>
    <w:rsid w:val="008434E5"/>
    <w:rsid w:val="0084357F"/>
    <w:rsid w:val="0084360F"/>
    <w:rsid w:val="00843890"/>
    <w:rsid w:val="00843964"/>
    <w:rsid w:val="0084399E"/>
    <w:rsid w:val="00843AB5"/>
    <w:rsid w:val="00843BDF"/>
    <w:rsid w:val="00843BEA"/>
    <w:rsid w:val="00843CFE"/>
    <w:rsid w:val="00843E35"/>
    <w:rsid w:val="00843E49"/>
    <w:rsid w:val="008442B1"/>
    <w:rsid w:val="00844484"/>
    <w:rsid w:val="008444D6"/>
    <w:rsid w:val="00844586"/>
    <w:rsid w:val="00844A57"/>
    <w:rsid w:val="00844C70"/>
    <w:rsid w:val="008450E2"/>
    <w:rsid w:val="008451B3"/>
    <w:rsid w:val="00845243"/>
    <w:rsid w:val="00845327"/>
    <w:rsid w:val="00845388"/>
    <w:rsid w:val="00845422"/>
    <w:rsid w:val="0084566D"/>
    <w:rsid w:val="0084570C"/>
    <w:rsid w:val="0084574E"/>
    <w:rsid w:val="0084583E"/>
    <w:rsid w:val="00845895"/>
    <w:rsid w:val="008459F5"/>
    <w:rsid w:val="00845A39"/>
    <w:rsid w:val="00845AC8"/>
    <w:rsid w:val="00845B3A"/>
    <w:rsid w:val="00845BD4"/>
    <w:rsid w:val="00845CAC"/>
    <w:rsid w:val="00845DE3"/>
    <w:rsid w:val="00845DED"/>
    <w:rsid w:val="00845F03"/>
    <w:rsid w:val="0084601E"/>
    <w:rsid w:val="00846021"/>
    <w:rsid w:val="008460BA"/>
    <w:rsid w:val="008460C9"/>
    <w:rsid w:val="0084617D"/>
    <w:rsid w:val="00846200"/>
    <w:rsid w:val="0084635E"/>
    <w:rsid w:val="00846405"/>
    <w:rsid w:val="008464BA"/>
    <w:rsid w:val="00846625"/>
    <w:rsid w:val="00846769"/>
    <w:rsid w:val="008468B3"/>
    <w:rsid w:val="00846921"/>
    <w:rsid w:val="00846B3D"/>
    <w:rsid w:val="00846C44"/>
    <w:rsid w:val="00846C62"/>
    <w:rsid w:val="00846F17"/>
    <w:rsid w:val="00847024"/>
    <w:rsid w:val="0084707B"/>
    <w:rsid w:val="00847090"/>
    <w:rsid w:val="00847125"/>
    <w:rsid w:val="00847214"/>
    <w:rsid w:val="00847228"/>
    <w:rsid w:val="008473A3"/>
    <w:rsid w:val="008474EA"/>
    <w:rsid w:val="00847A30"/>
    <w:rsid w:val="00847CAD"/>
    <w:rsid w:val="00847DBA"/>
    <w:rsid w:val="00847E61"/>
    <w:rsid w:val="00847EB6"/>
    <w:rsid w:val="0085000B"/>
    <w:rsid w:val="00850026"/>
    <w:rsid w:val="008500B8"/>
    <w:rsid w:val="0085019C"/>
    <w:rsid w:val="008503A9"/>
    <w:rsid w:val="008503CA"/>
    <w:rsid w:val="0085052E"/>
    <w:rsid w:val="008505B4"/>
    <w:rsid w:val="0085067D"/>
    <w:rsid w:val="0085084A"/>
    <w:rsid w:val="008509D4"/>
    <w:rsid w:val="008509F9"/>
    <w:rsid w:val="00850B63"/>
    <w:rsid w:val="00850BF7"/>
    <w:rsid w:val="00850C51"/>
    <w:rsid w:val="00850C8A"/>
    <w:rsid w:val="00850CC6"/>
    <w:rsid w:val="00850DAF"/>
    <w:rsid w:val="00850DFA"/>
    <w:rsid w:val="00850EA3"/>
    <w:rsid w:val="00850FAE"/>
    <w:rsid w:val="00850FC1"/>
    <w:rsid w:val="00850FCF"/>
    <w:rsid w:val="008510FD"/>
    <w:rsid w:val="008511BC"/>
    <w:rsid w:val="0085139D"/>
    <w:rsid w:val="008513BE"/>
    <w:rsid w:val="00851481"/>
    <w:rsid w:val="0085148D"/>
    <w:rsid w:val="008515CE"/>
    <w:rsid w:val="008516D3"/>
    <w:rsid w:val="00851770"/>
    <w:rsid w:val="00851849"/>
    <w:rsid w:val="008518D0"/>
    <w:rsid w:val="00851A92"/>
    <w:rsid w:val="00851D20"/>
    <w:rsid w:val="00851EF8"/>
    <w:rsid w:val="00851F8C"/>
    <w:rsid w:val="00851FB7"/>
    <w:rsid w:val="00851FD4"/>
    <w:rsid w:val="00851FFA"/>
    <w:rsid w:val="00852290"/>
    <w:rsid w:val="008523B5"/>
    <w:rsid w:val="008525D0"/>
    <w:rsid w:val="00852754"/>
    <w:rsid w:val="008527B5"/>
    <w:rsid w:val="008527D4"/>
    <w:rsid w:val="00852820"/>
    <w:rsid w:val="00852838"/>
    <w:rsid w:val="00852C39"/>
    <w:rsid w:val="00852D8F"/>
    <w:rsid w:val="00852DBE"/>
    <w:rsid w:val="00852E1D"/>
    <w:rsid w:val="00852E5C"/>
    <w:rsid w:val="00852EA3"/>
    <w:rsid w:val="00852FAA"/>
    <w:rsid w:val="00853362"/>
    <w:rsid w:val="00853441"/>
    <w:rsid w:val="008534F0"/>
    <w:rsid w:val="00853521"/>
    <w:rsid w:val="0085363D"/>
    <w:rsid w:val="008538CE"/>
    <w:rsid w:val="00853A1E"/>
    <w:rsid w:val="00853AB3"/>
    <w:rsid w:val="00853AB8"/>
    <w:rsid w:val="00853BB7"/>
    <w:rsid w:val="00853D19"/>
    <w:rsid w:val="00853E36"/>
    <w:rsid w:val="0085403B"/>
    <w:rsid w:val="008540C8"/>
    <w:rsid w:val="008540DC"/>
    <w:rsid w:val="00854184"/>
    <w:rsid w:val="008542A7"/>
    <w:rsid w:val="008543F3"/>
    <w:rsid w:val="00854512"/>
    <w:rsid w:val="0085454E"/>
    <w:rsid w:val="008545F3"/>
    <w:rsid w:val="008546C7"/>
    <w:rsid w:val="00854708"/>
    <w:rsid w:val="00854B87"/>
    <w:rsid w:val="00854C17"/>
    <w:rsid w:val="00854CB3"/>
    <w:rsid w:val="00854DC1"/>
    <w:rsid w:val="00854EB4"/>
    <w:rsid w:val="0085504C"/>
    <w:rsid w:val="008550C8"/>
    <w:rsid w:val="00855239"/>
    <w:rsid w:val="008552A8"/>
    <w:rsid w:val="00855322"/>
    <w:rsid w:val="00855613"/>
    <w:rsid w:val="00855733"/>
    <w:rsid w:val="00855772"/>
    <w:rsid w:val="00855813"/>
    <w:rsid w:val="0085581F"/>
    <w:rsid w:val="00855894"/>
    <w:rsid w:val="00855A23"/>
    <w:rsid w:val="00855AA6"/>
    <w:rsid w:val="00855E7E"/>
    <w:rsid w:val="00855F45"/>
    <w:rsid w:val="00856001"/>
    <w:rsid w:val="0085627F"/>
    <w:rsid w:val="00856304"/>
    <w:rsid w:val="0085632C"/>
    <w:rsid w:val="00856338"/>
    <w:rsid w:val="0085637C"/>
    <w:rsid w:val="008564E8"/>
    <w:rsid w:val="008565EA"/>
    <w:rsid w:val="00856613"/>
    <w:rsid w:val="0085688B"/>
    <w:rsid w:val="008568FF"/>
    <w:rsid w:val="00856A82"/>
    <w:rsid w:val="00856AC2"/>
    <w:rsid w:val="00856B25"/>
    <w:rsid w:val="00856F5E"/>
    <w:rsid w:val="00857147"/>
    <w:rsid w:val="00857179"/>
    <w:rsid w:val="0085717C"/>
    <w:rsid w:val="008571A8"/>
    <w:rsid w:val="008574AF"/>
    <w:rsid w:val="00857560"/>
    <w:rsid w:val="008576B0"/>
    <w:rsid w:val="0085771A"/>
    <w:rsid w:val="0085779E"/>
    <w:rsid w:val="008577DB"/>
    <w:rsid w:val="00857825"/>
    <w:rsid w:val="0085787A"/>
    <w:rsid w:val="008578E7"/>
    <w:rsid w:val="00857974"/>
    <w:rsid w:val="00857B7A"/>
    <w:rsid w:val="008606A5"/>
    <w:rsid w:val="008606A7"/>
    <w:rsid w:val="008606D0"/>
    <w:rsid w:val="00860746"/>
    <w:rsid w:val="00860828"/>
    <w:rsid w:val="00860CF1"/>
    <w:rsid w:val="00860D8A"/>
    <w:rsid w:val="00861317"/>
    <w:rsid w:val="0086131C"/>
    <w:rsid w:val="0086137F"/>
    <w:rsid w:val="008613F5"/>
    <w:rsid w:val="0086142A"/>
    <w:rsid w:val="00861491"/>
    <w:rsid w:val="00861833"/>
    <w:rsid w:val="008619CF"/>
    <w:rsid w:val="00861CC1"/>
    <w:rsid w:val="00861CCE"/>
    <w:rsid w:val="00861DCA"/>
    <w:rsid w:val="00861E25"/>
    <w:rsid w:val="00861FA7"/>
    <w:rsid w:val="00862025"/>
    <w:rsid w:val="0086215E"/>
    <w:rsid w:val="0086224B"/>
    <w:rsid w:val="00862254"/>
    <w:rsid w:val="00862383"/>
    <w:rsid w:val="008623DE"/>
    <w:rsid w:val="00862446"/>
    <w:rsid w:val="0086246E"/>
    <w:rsid w:val="00862511"/>
    <w:rsid w:val="00862533"/>
    <w:rsid w:val="0086259E"/>
    <w:rsid w:val="0086268C"/>
    <w:rsid w:val="008626DC"/>
    <w:rsid w:val="0086279C"/>
    <w:rsid w:val="00862C38"/>
    <w:rsid w:val="00862D5E"/>
    <w:rsid w:val="00862E8E"/>
    <w:rsid w:val="00862F12"/>
    <w:rsid w:val="00862F73"/>
    <w:rsid w:val="00862F9C"/>
    <w:rsid w:val="008631D0"/>
    <w:rsid w:val="008631F6"/>
    <w:rsid w:val="0086323F"/>
    <w:rsid w:val="00863381"/>
    <w:rsid w:val="008634F8"/>
    <w:rsid w:val="008635F5"/>
    <w:rsid w:val="0086381C"/>
    <w:rsid w:val="00863996"/>
    <w:rsid w:val="00863B50"/>
    <w:rsid w:val="00863B9E"/>
    <w:rsid w:val="00863BA5"/>
    <w:rsid w:val="00863D34"/>
    <w:rsid w:val="008640AD"/>
    <w:rsid w:val="0086446C"/>
    <w:rsid w:val="008644AC"/>
    <w:rsid w:val="0086460C"/>
    <w:rsid w:val="00864688"/>
    <w:rsid w:val="008649A6"/>
    <w:rsid w:val="00864A5F"/>
    <w:rsid w:val="00864B04"/>
    <w:rsid w:val="00864BE3"/>
    <w:rsid w:val="00864C29"/>
    <w:rsid w:val="00864C38"/>
    <w:rsid w:val="00864C4C"/>
    <w:rsid w:val="00864D47"/>
    <w:rsid w:val="00864EB7"/>
    <w:rsid w:val="008650A8"/>
    <w:rsid w:val="00865121"/>
    <w:rsid w:val="00865137"/>
    <w:rsid w:val="008652C6"/>
    <w:rsid w:val="008653D5"/>
    <w:rsid w:val="00865518"/>
    <w:rsid w:val="0086567A"/>
    <w:rsid w:val="008656BF"/>
    <w:rsid w:val="00865751"/>
    <w:rsid w:val="008658C8"/>
    <w:rsid w:val="00865A7A"/>
    <w:rsid w:val="00865BC2"/>
    <w:rsid w:val="00865C8F"/>
    <w:rsid w:val="00865C91"/>
    <w:rsid w:val="00865CC0"/>
    <w:rsid w:val="00865FA2"/>
    <w:rsid w:val="00865FC2"/>
    <w:rsid w:val="00866033"/>
    <w:rsid w:val="00866230"/>
    <w:rsid w:val="00866466"/>
    <w:rsid w:val="00866748"/>
    <w:rsid w:val="008667A9"/>
    <w:rsid w:val="008668CF"/>
    <w:rsid w:val="008668DA"/>
    <w:rsid w:val="008668FE"/>
    <w:rsid w:val="00866923"/>
    <w:rsid w:val="00866940"/>
    <w:rsid w:val="00866952"/>
    <w:rsid w:val="00866B1C"/>
    <w:rsid w:val="00866BB3"/>
    <w:rsid w:val="00866C04"/>
    <w:rsid w:val="00866C0F"/>
    <w:rsid w:val="00866D41"/>
    <w:rsid w:val="00866E02"/>
    <w:rsid w:val="00866E70"/>
    <w:rsid w:val="00866EB4"/>
    <w:rsid w:val="00866FBE"/>
    <w:rsid w:val="00867081"/>
    <w:rsid w:val="00867255"/>
    <w:rsid w:val="008672E4"/>
    <w:rsid w:val="008679C6"/>
    <w:rsid w:val="00867AB5"/>
    <w:rsid w:val="00867D3C"/>
    <w:rsid w:val="00867EC9"/>
    <w:rsid w:val="00867F90"/>
    <w:rsid w:val="0087004C"/>
    <w:rsid w:val="00870097"/>
    <w:rsid w:val="008701B1"/>
    <w:rsid w:val="008701C3"/>
    <w:rsid w:val="0087025B"/>
    <w:rsid w:val="008702C6"/>
    <w:rsid w:val="008702CB"/>
    <w:rsid w:val="008703A9"/>
    <w:rsid w:val="008703AF"/>
    <w:rsid w:val="00870477"/>
    <w:rsid w:val="008705C0"/>
    <w:rsid w:val="008706EC"/>
    <w:rsid w:val="00870754"/>
    <w:rsid w:val="008708C4"/>
    <w:rsid w:val="008709BA"/>
    <w:rsid w:val="00870A13"/>
    <w:rsid w:val="00870B16"/>
    <w:rsid w:val="00870BA3"/>
    <w:rsid w:val="00870C8C"/>
    <w:rsid w:val="00870DD3"/>
    <w:rsid w:val="00870E30"/>
    <w:rsid w:val="00870E6A"/>
    <w:rsid w:val="00870E89"/>
    <w:rsid w:val="00870F31"/>
    <w:rsid w:val="00870FFB"/>
    <w:rsid w:val="008710E2"/>
    <w:rsid w:val="008711BB"/>
    <w:rsid w:val="00871394"/>
    <w:rsid w:val="008714F8"/>
    <w:rsid w:val="00871705"/>
    <w:rsid w:val="00871803"/>
    <w:rsid w:val="00871860"/>
    <w:rsid w:val="00871B66"/>
    <w:rsid w:val="00871BD9"/>
    <w:rsid w:val="00871CCF"/>
    <w:rsid w:val="00871CD9"/>
    <w:rsid w:val="00871E2D"/>
    <w:rsid w:val="00871F1E"/>
    <w:rsid w:val="008720F8"/>
    <w:rsid w:val="00872112"/>
    <w:rsid w:val="00872180"/>
    <w:rsid w:val="008721CD"/>
    <w:rsid w:val="00872374"/>
    <w:rsid w:val="008725A7"/>
    <w:rsid w:val="008725E3"/>
    <w:rsid w:val="0087277D"/>
    <w:rsid w:val="00872907"/>
    <w:rsid w:val="00872AA5"/>
    <w:rsid w:val="00872B3B"/>
    <w:rsid w:val="00872BFB"/>
    <w:rsid w:val="00872CB8"/>
    <w:rsid w:val="00872E0F"/>
    <w:rsid w:val="0087302F"/>
    <w:rsid w:val="00873052"/>
    <w:rsid w:val="008732F5"/>
    <w:rsid w:val="008735E9"/>
    <w:rsid w:val="008736C0"/>
    <w:rsid w:val="00873966"/>
    <w:rsid w:val="00873AC0"/>
    <w:rsid w:val="00873ACC"/>
    <w:rsid w:val="00873C4A"/>
    <w:rsid w:val="00873F99"/>
    <w:rsid w:val="008740F0"/>
    <w:rsid w:val="008741C0"/>
    <w:rsid w:val="00874248"/>
    <w:rsid w:val="008742B9"/>
    <w:rsid w:val="00874436"/>
    <w:rsid w:val="00874517"/>
    <w:rsid w:val="008748A5"/>
    <w:rsid w:val="008748C9"/>
    <w:rsid w:val="00874BB0"/>
    <w:rsid w:val="00874BBD"/>
    <w:rsid w:val="00874C6E"/>
    <w:rsid w:val="00874D1C"/>
    <w:rsid w:val="00874DFE"/>
    <w:rsid w:val="00874E6F"/>
    <w:rsid w:val="00874EE6"/>
    <w:rsid w:val="00874F9D"/>
    <w:rsid w:val="00875257"/>
    <w:rsid w:val="0087529B"/>
    <w:rsid w:val="008752EF"/>
    <w:rsid w:val="008753E9"/>
    <w:rsid w:val="0087540E"/>
    <w:rsid w:val="008754D4"/>
    <w:rsid w:val="0087551A"/>
    <w:rsid w:val="00875599"/>
    <w:rsid w:val="008755E7"/>
    <w:rsid w:val="00875726"/>
    <w:rsid w:val="008757BE"/>
    <w:rsid w:val="008757C3"/>
    <w:rsid w:val="008757DF"/>
    <w:rsid w:val="0087588B"/>
    <w:rsid w:val="00875BC1"/>
    <w:rsid w:val="00875CFA"/>
    <w:rsid w:val="00875FD8"/>
    <w:rsid w:val="008760CD"/>
    <w:rsid w:val="008760FB"/>
    <w:rsid w:val="00876344"/>
    <w:rsid w:val="0087655E"/>
    <w:rsid w:val="0087677C"/>
    <w:rsid w:val="00876B4E"/>
    <w:rsid w:val="00876B6D"/>
    <w:rsid w:val="00876B8B"/>
    <w:rsid w:val="00876F6D"/>
    <w:rsid w:val="00877183"/>
    <w:rsid w:val="008773D4"/>
    <w:rsid w:val="00877440"/>
    <w:rsid w:val="00877688"/>
    <w:rsid w:val="008777F3"/>
    <w:rsid w:val="0087780E"/>
    <w:rsid w:val="0087799A"/>
    <w:rsid w:val="00877A21"/>
    <w:rsid w:val="00877B7D"/>
    <w:rsid w:val="00877BD6"/>
    <w:rsid w:val="00877CFC"/>
    <w:rsid w:val="00877D7E"/>
    <w:rsid w:val="00877DA6"/>
    <w:rsid w:val="00877EAD"/>
    <w:rsid w:val="00877F90"/>
    <w:rsid w:val="00877FC6"/>
    <w:rsid w:val="0088004E"/>
    <w:rsid w:val="008800BE"/>
    <w:rsid w:val="00880339"/>
    <w:rsid w:val="00880AD0"/>
    <w:rsid w:val="00880AF4"/>
    <w:rsid w:val="00880B6E"/>
    <w:rsid w:val="00880C2F"/>
    <w:rsid w:val="00880CCB"/>
    <w:rsid w:val="00880D84"/>
    <w:rsid w:val="00880DC5"/>
    <w:rsid w:val="00880EAA"/>
    <w:rsid w:val="008810C8"/>
    <w:rsid w:val="0088122F"/>
    <w:rsid w:val="008813F5"/>
    <w:rsid w:val="0088140A"/>
    <w:rsid w:val="0088153D"/>
    <w:rsid w:val="00881675"/>
    <w:rsid w:val="00881699"/>
    <w:rsid w:val="00881767"/>
    <w:rsid w:val="00881A3D"/>
    <w:rsid w:val="00881B7C"/>
    <w:rsid w:val="00881F0B"/>
    <w:rsid w:val="0088203D"/>
    <w:rsid w:val="008821E5"/>
    <w:rsid w:val="008821E7"/>
    <w:rsid w:val="00882299"/>
    <w:rsid w:val="0088233A"/>
    <w:rsid w:val="0088234D"/>
    <w:rsid w:val="00882362"/>
    <w:rsid w:val="00882515"/>
    <w:rsid w:val="00882881"/>
    <w:rsid w:val="0088291B"/>
    <w:rsid w:val="00882BC3"/>
    <w:rsid w:val="00882D9B"/>
    <w:rsid w:val="00882E18"/>
    <w:rsid w:val="00882EFF"/>
    <w:rsid w:val="008830AB"/>
    <w:rsid w:val="00883179"/>
    <w:rsid w:val="008831FB"/>
    <w:rsid w:val="0088325F"/>
    <w:rsid w:val="00883325"/>
    <w:rsid w:val="00883355"/>
    <w:rsid w:val="00883393"/>
    <w:rsid w:val="00883461"/>
    <w:rsid w:val="008836C1"/>
    <w:rsid w:val="00883734"/>
    <w:rsid w:val="0088374E"/>
    <w:rsid w:val="0088380F"/>
    <w:rsid w:val="00883832"/>
    <w:rsid w:val="0088397D"/>
    <w:rsid w:val="008839D8"/>
    <w:rsid w:val="00883A73"/>
    <w:rsid w:val="00883B10"/>
    <w:rsid w:val="00883F73"/>
    <w:rsid w:val="00884027"/>
    <w:rsid w:val="008841BD"/>
    <w:rsid w:val="00884254"/>
    <w:rsid w:val="008843A9"/>
    <w:rsid w:val="008845D2"/>
    <w:rsid w:val="00884658"/>
    <w:rsid w:val="008846C2"/>
    <w:rsid w:val="0088483A"/>
    <w:rsid w:val="008848A3"/>
    <w:rsid w:val="0088493A"/>
    <w:rsid w:val="00884A24"/>
    <w:rsid w:val="00884E1A"/>
    <w:rsid w:val="00884E54"/>
    <w:rsid w:val="0088519D"/>
    <w:rsid w:val="00885222"/>
    <w:rsid w:val="00885239"/>
    <w:rsid w:val="0088525E"/>
    <w:rsid w:val="00885488"/>
    <w:rsid w:val="008854AE"/>
    <w:rsid w:val="008856C3"/>
    <w:rsid w:val="00885782"/>
    <w:rsid w:val="0088593F"/>
    <w:rsid w:val="00885B3F"/>
    <w:rsid w:val="00885C9E"/>
    <w:rsid w:val="00885DA7"/>
    <w:rsid w:val="00885E02"/>
    <w:rsid w:val="00885F51"/>
    <w:rsid w:val="00886131"/>
    <w:rsid w:val="00886357"/>
    <w:rsid w:val="00886479"/>
    <w:rsid w:val="008864A8"/>
    <w:rsid w:val="0088653C"/>
    <w:rsid w:val="008865FC"/>
    <w:rsid w:val="008866B5"/>
    <w:rsid w:val="008866D0"/>
    <w:rsid w:val="008868DD"/>
    <w:rsid w:val="00886A69"/>
    <w:rsid w:val="00886C77"/>
    <w:rsid w:val="00886DBA"/>
    <w:rsid w:val="00886EF2"/>
    <w:rsid w:val="00886EFF"/>
    <w:rsid w:val="00886FA3"/>
    <w:rsid w:val="00886FC7"/>
    <w:rsid w:val="00887065"/>
    <w:rsid w:val="00887113"/>
    <w:rsid w:val="00887149"/>
    <w:rsid w:val="00887495"/>
    <w:rsid w:val="008875D5"/>
    <w:rsid w:val="008875EA"/>
    <w:rsid w:val="00887690"/>
    <w:rsid w:val="00887698"/>
    <w:rsid w:val="00887771"/>
    <w:rsid w:val="00887789"/>
    <w:rsid w:val="0088790E"/>
    <w:rsid w:val="00887AA5"/>
    <w:rsid w:val="00887AE7"/>
    <w:rsid w:val="00887BC8"/>
    <w:rsid w:val="00887CAF"/>
    <w:rsid w:val="00887D21"/>
    <w:rsid w:val="00887EB9"/>
    <w:rsid w:val="0089003F"/>
    <w:rsid w:val="0089017B"/>
    <w:rsid w:val="00890193"/>
    <w:rsid w:val="00890243"/>
    <w:rsid w:val="00890371"/>
    <w:rsid w:val="00890441"/>
    <w:rsid w:val="008904D4"/>
    <w:rsid w:val="008904F7"/>
    <w:rsid w:val="008905C1"/>
    <w:rsid w:val="00890636"/>
    <w:rsid w:val="0089073D"/>
    <w:rsid w:val="008907E4"/>
    <w:rsid w:val="008909DB"/>
    <w:rsid w:val="00890AAD"/>
    <w:rsid w:val="00890CD5"/>
    <w:rsid w:val="00890DB9"/>
    <w:rsid w:val="00890EA6"/>
    <w:rsid w:val="00890EEE"/>
    <w:rsid w:val="00890F66"/>
    <w:rsid w:val="00890FBC"/>
    <w:rsid w:val="00891031"/>
    <w:rsid w:val="008911E2"/>
    <w:rsid w:val="008911E7"/>
    <w:rsid w:val="00891214"/>
    <w:rsid w:val="0089129A"/>
    <w:rsid w:val="00891339"/>
    <w:rsid w:val="008913C9"/>
    <w:rsid w:val="008913D3"/>
    <w:rsid w:val="008915FF"/>
    <w:rsid w:val="008918DA"/>
    <w:rsid w:val="0089194B"/>
    <w:rsid w:val="0089199D"/>
    <w:rsid w:val="008919BB"/>
    <w:rsid w:val="008919C4"/>
    <w:rsid w:val="00891E08"/>
    <w:rsid w:val="00892073"/>
    <w:rsid w:val="0089272D"/>
    <w:rsid w:val="0089279B"/>
    <w:rsid w:val="008927BC"/>
    <w:rsid w:val="00892C28"/>
    <w:rsid w:val="00892C69"/>
    <w:rsid w:val="00892CB7"/>
    <w:rsid w:val="00892DD1"/>
    <w:rsid w:val="00892E0B"/>
    <w:rsid w:val="00892F97"/>
    <w:rsid w:val="00893029"/>
    <w:rsid w:val="008930D8"/>
    <w:rsid w:val="00893156"/>
    <w:rsid w:val="008931A7"/>
    <w:rsid w:val="008931EE"/>
    <w:rsid w:val="00893239"/>
    <w:rsid w:val="008932D5"/>
    <w:rsid w:val="0089337C"/>
    <w:rsid w:val="008935A6"/>
    <w:rsid w:val="00893602"/>
    <w:rsid w:val="00893734"/>
    <w:rsid w:val="0089382C"/>
    <w:rsid w:val="008938B0"/>
    <w:rsid w:val="008938C7"/>
    <w:rsid w:val="00893B13"/>
    <w:rsid w:val="00893B6D"/>
    <w:rsid w:val="00893B9F"/>
    <w:rsid w:val="00893BC0"/>
    <w:rsid w:val="00893C56"/>
    <w:rsid w:val="00893C90"/>
    <w:rsid w:val="00893D11"/>
    <w:rsid w:val="00893D35"/>
    <w:rsid w:val="00893EC1"/>
    <w:rsid w:val="00893FBA"/>
    <w:rsid w:val="00893FF1"/>
    <w:rsid w:val="0089414D"/>
    <w:rsid w:val="008942E6"/>
    <w:rsid w:val="008945D3"/>
    <w:rsid w:val="0089460D"/>
    <w:rsid w:val="00894673"/>
    <w:rsid w:val="008946D3"/>
    <w:rsid w:val="008947F3"/>
    <w:rsid w:val="008947FC"/>
    <w:rsid w:val="00894827"/>
    <w:rsid w:val="00894888"/>
    <w:rsid w:val="008949FC"/>
    <w:rsid w:val="00894A2A"/>
    <w:rsid w:val="00894ACB"/>
    <w:rsid w:val="00894B45"/>
    <w:rsid w:val="00895389"/>
    <w:rsid w:val="00895541"/>
    <w:rsid w:val="008955F5"/>
    <w:rsid w:val="008956F7"/>
    <w:rsid w:val="00895717"/>
    <w:rsid w:val="008957E0"/>
    <w:rsid w:val="00895A0B"/>
    <w:rsid w:val="00895C4C"/>
    <w:rsid w:val="00895CE3"/>
    <w:rsid w:val="00895E27"/>
    <w:rsid w:val="00895E95"/>
    <w:rsid w:val="00895EAF"/>
    <w:rsid w:val="00895F37"/>
    <w:rsid w:val="008961B9"/>
    <w:rsid w:val="008962EF"/>
    <w:rsid w:val="00896390"/>
    <w:rsid w:val="00896393"/>
    <w:rsid w:val="0089666F"/>
    <w:rsid w:val="008966E1"/>
    <w:rsid w:val="0089685C"/>
    <w:rsid w:val="0089696E"/>
    <w:rsid w:val="00896AA1"/>
    <w:rsid w:val="00896CC4"/>
    <w:rsid w:val="00896D0F"/>
    <w:rsid w:val="00896D6D"/>
    <w:rsid w:val="00896DDF"/>
    <w:rsid w:val="0089707C"/>
    <w:rsid w:val="008971A0"/>
    <w:rsid w:val="00897255"/>
    <w:rsid w:val="008973C7"/>
    <w:rsid w:val="008973D5"/>
    <w:rsid w:val="00897404"/>
    <w:rsid w:val="0089748F"/>
    <w:rsid w:val="0089770F"/>
    <w:rsid w:val="008978C7"/>
    <w:rsid w:val="00897A63"/>
    <w:rsid w:val="00897ACC"/>
    <w:rsid w:val="00897C30"/>
    <w:rsid w:val="00897C90"/>
    <w:rsid w:val="00897D64"/>
    <w:rsid w:val="00897D88"/>
    <w:rsid w:val="00897DB2"/>
    <w:rsid w:val="00897E30"/>
    <w:rsid w:val="00897E70"/>
    <w:rsid w:val="00897ECA"/>
    <w:rsid w:val="00897F5C"/>
    <w:rsid w:val="008A0007"/>
    <w:rsid w:val="008A006A"/>
    <w:rsid w:val="008A04A3"/>
    <w:rsid w:val="008A0638"/>
    <w:rsid w:val="008A07C6"/>
    <w:rsid w:val="008A0A36"/>
    <w:rsid w:val="008A0AF2"/>
    <w:rsid w:val="008A0C7E"/>
    <w:rsid w:val="008A0D0A"/>
    <w:rsid w:val="008A0D35"/>
    <w:rsid w:val="008A0DCF"/>
    <w:rsid w:val="008A0E46"/>
    <w:rsid w:val="008A0ED9"/>
    <w:rsid w:val="008A0F87"/>
    <w:rsid w:val="008A105A"/>
    <w:rsid w:val="008A1283"/>
    <w:rsid w:val="008A1388"/>
    <w:rsid w:val="008A13D6"/>
    <w:rsid w:val="008A1476"/>
    <w:rsid w:val="008A1548"/>
    <w:rsid w:val="008A15EC"/>
    <w:rsid w:val="008A1616"/>
    <w:rsid w:val="008A1633"/>
    <w:rsid w:val="008A169E"/>
    <w:rsid w:val="008A16CC"/>
    <w:rsid w:val="008A18C6"/>
    <w:rsid w:val="008A1A89"/>
    <w:rsid w:val="008A1BA1"/>
    <w:rsid w:val="008A1CF9"/>
    <w:rsid w:val="008A2021"/>
    <w:rsid w:val="008A20A9"/>
    <w:rsid w:val="008A21EC"/>
    <w:rsid w:val="008A2368"/>
    <w:rsid w:val="008A24BB"/>
    <w:rsid w:val="008A24C0"/>
    <w:rsid w:val="008A261B"/>
    <w:rsid w:val="008A26D0"/>
    <w:rsid w:val="008A27C8"/>
    <w:rsid w:val="008A2A4F"/>
    <w:rsid w:val="008A2AF1"/>
    <w:rsid w:val="008A2B07"/>
    <w:rsid w:val="008A2B0D"/>
    <w:rsid w:val="008A2BB0"/>
    <w:rsid w:val="008A2BFF"/>
    <w:rsid w:val="008A2CD6"/>
    <w:rsid w:val="008A2CE7"/>
    <w:rsid w:val="008A2D40"/>
    <w:rsid w:val="008A2D45"/>
    <w:rsid w:val="008A2D74"/>
    <w:rsid w:val="008A2DC4"/>
    <w:rsid w:val="008A2E14"/>
    <w:rsid w:val="008A2F1C"/>
    <w:rsid w:val="008A2F6A"/>
    <w:rsid w:val="008A3055"/>
    <w:rsid w:val="008A3174"/>
    <w:rsid w:val="008A31B8"/>
    <w:rsid w:val="008A33ED"/>
    <w:rsid w:val="008A35BB"/>
    <w:rsid w:val="008A37DD"/>
    <w:rsid w:val="008A3805"/>
    <w:rsid w:val="008A3881"/>
    <w:rsid w:val="008A3982"/>
    <w:rsid w:val="008A3C8D"/>
    <w:rsid w:val="008A3D0B"/>
    <w:rsid w:val="008A3E99"/>
    <w:rsid w:val="008A3F21"/>
    <w:rsid w:val="008A4099"/>
    <w:rsid w:val="008A4169"/>
    <w:rsid w:val="008A4331"/>
    <w:rsid w:val="008A43A5"/>
    <w:rsid w:val="008A46AD"/>
    <w:rsid w:val="008A47BA"/>
    <w:rsid w:val="008A48ED"/>
    <w:rsid w:val="008A4934"/>
    <w:rsid w:val="008A4C8C"/>
    <w:rsid w:val="008A4CAB"/>
    <w:rsid w:val="008A4CC7"/>
    <w:rsid w:val="008A4D2F"/>
    <w:rsid w:val="008A4F72"/>
    <w:rsid w:val="008A4FBD"/>
    <w:rsid w:val="008A5000"/>
    <w:rsid w:val="008A5052"/>
    <w:rsid w:val="008A5196"/>
    <w:rsid w:val="008A51F4"/>
    <w:rsid w:val="008A525E"/>
    <w:rsid w:val="008A52C3"/>
    <w:rsid w:val="008A531E"/>
    <w:rsid w:val="008A5381"/>
    <w:rsid w:val="008A5515"/>
    <w:rsid w:val="008A5686"/>
    <w:rsid w:val="008A5865"/>
    <w:rsid w:val="008A598F"/>
    <w:rsid w:val="008A59DB"/>
    <w:rsid w:val="008A5A41"/>
    <w:rsid w:val="008A5AAE"/>
    <w:rsid w:val="008A5AED"/>
    <w:rsid w:val="008A5B29"/>
    <w:rsid w:val="008A5BDF"/>
    <w:rsid w:val="008A5C07"/>
    <w:rsid w:val="008A5D73"/>
    <w:rsid w:val="008A5DA2"/>
    <w:rsid w:val="008A5F94"/>
    <w:rsid w:val="008A5F9F"/>
    <w:rsid w:val="008A62F1"/>
    <w:rsid w:val="008A6390"/>
    <w:rsid w:val="008A63A4"/>
    <w:rsid w:val="008A642D"/>
    <w:rsid w:val="008A6456"/>
    <w:rsid w:val="008A64FD"/>
    <w:rsid w:val="008A65A3"/>
    <w:rsid w:val="008A6635"/>
    <w:rsid w:val="008A69C5"/>
    <w:rsid w:val="008A6A6B"/>
    <w:rsid w:val="008A6AA2"/>
    <w:rsid w:val="008A6B0B"/>
    <w:rsid w:val="008A6B14"/>
    <w:rsid w:val="008A6E08"/>
    <w:rsid w:val="008A6F1C"/>
    <w:rsid w:val="008A6F8E"/>
    <w:rsid w:val="008A6FBE"/>
    <w:rsid w:val="008A70EF"/>
    <w:rsid w:val="008A72DE"/>
    <w:rsid w:val="008A7346"/>
    <w:rsid w:val="008A73ED"/>
    <w:rsid w:val="008A7413"/>
    <w:rsid w:val="008A7480"/>
    <w:rsid w:val="008A749F"/>
    <w:rsid w:val="008A750D"/>
    <w:rsid w:val="008A75B7"/>
    <w:rsid w:val="008A75F9"/>
    <w:rsid w:val="008A7636"/>
    <w:rsid w:val="008A7675"/>
    <w:rsid w:val="008A78F4"/>
    <w:rsid w:val="008A7ADA"/>
    <w:rsid w:val="008A7BDD"/>
    <w:rsid w:val="008A7E48"/>
    <w:rsid w:val="008A7E78"/>
    <w:rsid w:val="008A7EE1"/>
    <w:rsid w:val="008A7FB5"/>
    <w:rsid w:val="008B016E"/>
    <w:rsid w:val="008B02DD"/>
    <w:rsid w:val="008B03D8"/>
    <w:rsid w:val="008B04B9"/>
    <w:rsid w:val="008B05ED"/>
    <w:rsid w:val="008B0775"/>
    <w:rsid w:val="008B07B0"/>
    <w:rsid w:val="008B086C"/>
    <w:rsid w:val="008B09A0"/>
    <w:rsid w:val="008B0A35"/>
    <w:rsid w:val="008B0C70"/>
    <w:rsid w:val="008B0DD4"/>
    <w:rsid w:val="008B0E50"/>
    <w:rsid w:val="008B0FDE"/>
    <w:rsid w:val="008B10E2"/>
    <w:rsid w:val="008B1172"/>
    <w:rsid w:val="008B1179"/>
    <w:rsid w:val="008B117C"/>
    <w:rsid w:val="008B12E0"/>
    <w:rsid w:val="008B144E"/>
    <w:rsid w:val="008B1455"/>
    <w:rsid w:val="008B15C5"/>
    <w:rsid w:val="008B1778"/>
    <w:rsid w:val="008B1880"/>
    <w:rsid w:val="008B1961"/>
    <w:rsid w:val="008B1A53"/>
    <w:rsid w:val="008B1BC5"/>
    <w:rsid w:val="008B1BF6"/>
    <w:rsid w:val="008B1D53"/>
    <w:rsid w:val="008B1E8F"/>
    <w:rsid w:val="008B2229"/>
    <w:rsid w:val="008B227D"/>
    <w:rsid w:val="008B22C9"/>
    <w:rsid w:val="008B2351"/>
    <w:rsid w:val="008B2586"/>
    <w:rsid w:val="008B25A6"/>
    <w:rsid w:val="008B2703"/>
    <w:rsid w:val="008B292E"/>
    <w:rsid w:val="008B2937"/>
    <w:rsid w:val="008B2AFD"/>
    <w:rsid w:val="008B2C68"/>
    <w:rsid w:val="008B2D47"/>
    <w:rsid w:val="008B2FF5"/>
    <w:rsid w:val="008B3051"/>
    <w:rsid w:val="008B3098"/>
    <w:rsid w:val="008B31B6"/>
    <w:rsid w:val="008B324A"/>
    <w:rsid w:val="008B32A8"/>
    <w:rsid w:val="008B3668"/>
    <w:rsid w:val="008B3A6C"/>
    <w:rsid w:val="008B3B62"/>
    <w:rsid w:val="008B3BE6"/>
    <w:rsid w:val="008B3D9E"/>
    <w:rsid w:val="008B3FE4"/>
    <w:rsid w:val="008B40AB"/>
    <w:rsid w:val="008B41BB"/>
    <w:rsid w:val="008B446F"/>
    <w:rsid w:val="008B45B7"/>
    <w:rsid w:val="008B4789"/>
    <w:rsid w:val="008B4827"/>
    <w:rsid w:val="008B492E"/>
    <w:rsid w:val="008B4A77"/>
    <w:rsid w:val="008B4ABB"/>
    <w:rsid w:val="008B4BD9"/>
    <w:rsid w:val="008B4C2D"/>
    <w:rsid w:val="008B4CAD"/>
    <w:rsid w:val="008B4D43"/>
    <w:rsid w:val="008B4D7F"/>
    <w:rsid w:val="008B4E1B"/>
    <w:rsid w:val="008B4EE6"/>
    <w:rsid w:val="008B4F82"/>
    <w:rsid w:val="008B4FCC"/>
    <w:rsid w:val="008B4FCD"/>
    <w:rsid w:val="008B4FF6"/>
    <w:rsid w:val="008B5033"/>
    <w:rsid w:val="008B509B"/>
    <w:rsid w:val="008B52B4"/>
    <w:rsid w:val="008B52F5"/>
    <w:rsid w:val="008B5463"/>
    <w:rsid w:val="008B5464"/>
    <w:rsid w:val="008B5475"/>
    <w:rsid w:val="008B56FA"/>
    <w:rsid w:val="008B575E"/>
    <w:rsid w:val="008B57AF"/>
    <w:rsid w:val="008B590C"/>
    <w:rsid w:val="008B59CA"/>
    <w:rsid w:val="008B5AFB"/>
    <w:rsid w:val="008B5B08"/>
    <w:rsid w:val="008B5CCF"/>
    <w:rsid w:val="008B5D26"/>
    <w:rsid w:val="008B5D39"/>
    <w:rsid w:val="008B5D59"/>
    <w:rsid w:val="008B5F8B"/>
    <w:rsid w:val="008B614C"/>
    <w:rsid w:val="008B6274"/>
    <w:rsid w:val="008B6365"/>
    <w:rsid w:val="008B642C"/>
    <w:rsid w:val="008B6463"/>
    <w:rsid w:val="008B6535"/>
    <w:rsid w:val="008B6538"/>
    <w:rsid w:val="008B6693"/>
    <w:rsid w:val="008B669B"/>
    <w:rsid w:val="008B6707"/>
    <w:rsid w:val="008B6836"/>
    <w:rsid w:val="008B68AC"/>
    <w:rsid w:val="008B6977"/>
    <w:rsid w:val="008B69BB"/>
    <w:rsid w:val="008B6BDD"/>
    <w:rsid w:val="008B6CD8"/>
    <w:rsid w:val="008B6E7B"/>
    <w:rsid w:val="008B6EE0"/>
    <w:rsid w:val="008B6F49"/>
    <w:rsid w:val="008B7004"/>
    <w:rsid w:val="008B7063"/>
    <w:rsid w:val="008B7278"/>
    <w:rsid w:val="008B7467"/>
    <w:rsid w:val="008B7477"/>
    <w:rsid w:val="008B753D"/>
    <w:rsid w:val="008B75BE"/>
    <w:rsid w:val="008B7635"/>
    <w:rsid w:val="008B7705"/>
    <w:rsid w:val="008B779C"/>
    <w:rsid w:val="008B7AC2"/>
    <w:rsid w:val="008B7B03"/>
    <w:rsid w:val="008B7B85"/>
    <w:rsid w:val="008B7CED"/>
    <w:rsid w:val="008B7D11"/>
    <w:rsid w:val="008B7D73"/>
    <w:rsid w:val="008B7D7D"/>
    <w:rsid w:val="008B7E39"/>
    <w:rsid w:val="008B7E70"/>
    <w:rsid w:val="008B7F5E"/>
    <w:rsid w:val="008C00A0"/>
    <w:rsid w:val="008C01BF"/>
    <w:rsid w:val="008C0316"/>
    <w:rsid w:val="008C042C"/>
    <w:rsid w:val="008C0623"/>
    <w:rsid w:val="008C0895"/>
    <w:rsid w:val="008C08B3"/>
    <w:rsid w:val="008C0B7D"/>
    <w:rsid w:val="008C0B9D"/>
    <w:rsid w:val="008C0F49"/>
    <w:rsid w:val="008C0FB9"/>
    <w:rsid w:val="008C0FED"/>
    <w:rsid w:val="008C1054"/>
    <w:rsid w:val="008C150E"/>
    <w:rsid w:val="008C1677"/>
    <w:rsid w:val="008C173C"/>
    <w:rsid w:val="008C1957"/>
    <w:rsid w:val="008C1BA5"/>
    <w:rsid w:val="008C1C61"/>
    <w:rsid w:val="008C1CA3"/>
    <w:rsid w:val="008C1DCC"/>
    <w:rsid w:val="008C1E3A"/>
    <w:rsid w:val="008C2013"/>
    <w:rsid w:val="008C2291"/>
    <w:rsid w:val="008C22A1"/>
    <w:rsid w:val="008C2411"/>
    <w:rsid w:val="008C247E"/>
    <w:rsid w:val="008C24B4"/>
    <w:rsid w:val="008C24BB"/>
    <w:rsid w:val="008C280A"/>
    <w:rsid w:val="008C2830"/>
    <w:rsid w:val="008C298E"/>
    <w:rsid w:val="008C2AA1"/>
    <w:rsid w:val="008C2C0E"/>
    <w:rsid w:val="008C2C99"/>
    <w:rsid w:val="008C2DF3"/>
    <w:rsid w:val="008C31D2"/>
    <w:rsid w:val="008C3370"/>
    <w:rsid w:val="008C3467"/>
    <w:rsid w:val="008C351D"/>
    <w:rsid w:val="008C3535"/>
    <w:rsid w:val="008C35CA"/>
    <w:rsid w:val="008C35EC"/>
    <w:rsid w:val="008C3614"/>
    <w:rsid w:val="008C3661"/>
    <w:rsid w:val="008C36D5"/>
    <w:rsid w:val="008C3734"/>
    <w:rsid w:val="008C3748"/>
    <w:rsid w:val="008C3813"/>
    <w:rsid w:val="008C3860"/>
    <w:rsid w:val="008C38B7"/>
    <w:rsid w:val="008C3955"/>
    <w:rsid w:val="008C39B5"/>
    <w:rsid w:val="008C3A45"/>
    <w:rsid w:val="008C3A4C"/>
    <w:rsid w:val="008C3A61"/>
    <w:rsid w:val="008C3ABA"/>
    <w:rsid w:val="008C3AD3"/>
    <w:rsid w:val="008C3B1E"/>
    <w:rsid w:val="008C3E53"/>
    <w:rsid w:val="008C3E88"/>
    <w:rsid w:val="008C3E92"/>
    <w:rsid w:val="008C3FC3"/>
    <w:rsid w:val="008C4066"/>
    <w:rsid w:val="008C43D9"/>
    <w:rsid w:val="008C44B3"/>
    <w:rsid w:val="008C44BF"/>
    <w:rsid w:val="008C453A"/>
    <w:rsid w:val="008C45E7"/>
    <w:rsid w:val="008C48F7"/>
    <w:rsid w:val="008C4C1F"/>
    <w:rsid w:val="008C4DF7"/>
    <w:rsid w:val="008C4FF3"/>
    <w:rsid w:val="008C514B"/>
    <w:rsid w:val="008C52A0"/>
    <w:rsid w:val="008C533C"/>
    <w:rsid w:val="008C53D4"/>
    <w:rsid w:val="008C544C"/>
    <w:rsid w:val="008C5A00"/>
    <w:rsid w:val="008C5B77"/>
    <w:rsid w:val="008C5C59"/>
    <w:rsid w:val="008C5D7D"/>
    <w:rsid w:val="008C5E34"/>
    <w:rsid w:val="008C5E83"/>
    <w:rsid w:val="008C5F3F"/>
    <w:rsid w:val="008C6007"/>
    <w:rsid w:val="008C617F"/>
    <w:rsid w:val="008C6267"/>
    <w:rsid w:val="008C6393"/>
    <w:rsid w:val="008C66F9"/>
    <w:rsid w:val="008C6726"/>
    <w:rsid w:val="008C67C8"/>
    <w:rsid w:val="008C67E1"/>
    <w:rsid w:val="008C6861"/>
    <w:rsid w:val="008C6CE8"/>
    <w:rsid w:val="008C6E18"/>
    <w:rsid w:val="008C6EBA"/>
    <w:rsid w:val="008C6EDF"/>
    <w:rsid w:val="008C7055"/>
    <w:rsid w:val="008C712F"/>
    <w:rsid w:val="008C715E"/>
    <w:rsid w:val="008C752D"/>
    <w:rsid w:val="008C75D0"/>
    <w:rsid w:val="008C7655"/>
    <w:rsid w:val="008C7694"/>
    <w:rsid w:val="008C7708"/>
    <w:rsid w:val="008C7724"/>
    <w:rsid w:val="008C786E"/>
    <w:rsid w:val="008C78A5"/>
    <w:rsid w:val="008C7916"/>
    <w:rsid w:val="008C7AC1"/>
    <w:rsid w:val="008C7B5A"/>
    <w:rsid w:val="008C7BDB"/>
    <w:rsid w:val="008C7C6F"/>
    <w:rsid w:val="008C7D3E"/>
    <w:rsid w:val="008C7E33"/>
    <w:rsid w:val="008C7E44"/>
    <w:rsid w:val="008D001C"/>
    <w:rsid w:val="008D012A"/>
    <w:rsid w:val="008D0162"/>
    <w:rsid w:val="008D01DF"/>
    <w:rsid w:val="008D0286"/>
    <w:rsid w:val="008D046F"/>
    <w:rsid w:val="008D0545"/>
    <w:rsid w:val="008D057D"/>
    <w:rsid w:val="008D0637"/>
    <w:rsid w:val="008D07FE"/>
    <w:rsid w:val="008D0A24"/>
    <w:rsid w:val="008D0B5B"/>
    <w:rsid w:val="008D0C26"/>
    <w:rsid w:val="008D0E06"/>
    <w:rsid w:val="008D0E18"/>
    <w:rsid w:val="008D0F0D"/>
    <w:rsid w:val="008D108D"/>
    <w:rsid w:val="008D109B"/>
    <w:rsid w:val="008D12BC"/>
    <w:rsid w:val="008D133D"/>
    <w:rsid w:val="008D1356"/>
    <w:rsid w:val="008D153E"/>
    <w:rsid w:val="008D154B"/>
    <w:rsid w:val="008D15CD"/>
    <w:rsid w:val="008D1659"/>
    <w:rsid w:val="008D1892"/>
    <w:rsid w:val="008D1913"/>
    <w:rsid w:val="008D1978"/>
    <w:rsid w:val="008D1B98"/>
    <w:rsid w:val="008D1CFB"/>
    <w:rsid w:val="008D1D57"/>
    <w:rsid w:val="008D1E09"/>
    <w:rsid w:val="008D1F25"/>
    <w:rsid w:val="008D1FDA"/>
    <w:rsid w:val="008D23B2"/>
    <w:rsid w:val="008D2512"/>
    <w:rsid w:val="008D269E"/>
    <w:rsid w:val="008D281D"/>
    <w:rsid w:val="008D2902"/>
    <w:rsid w:val="008D2906"/>
    <w:rsid w:val="008D2933"/>
    <w:rsid w:val="008D2AC5"/>
    <w:rsid w:val="008D2AF2"/>
    <w:rsid w:val="008D2B9F"/>
    <w:rsid w:val="008D2BC6"/>
    <w:rsid w:val="008D2BD8"/>
    <w:rsid w:val="008D2E57"/>
    <w:rsid w:val="008D2FD1"/>
    <w:rsid w:val="008D3130"/>
    <w:rsid w:val="008D31AC"/>
    <w:rsid w:val="008D31E5"/>
    <w:rsid w:val="008D337C"/>
    <w:rsid w:val="008D34AF"/>
    <w:rsid w:val="008D34F8"/>
    <w:rsid w:val="008D35AA"/>
    <w:rsid w:val="008D35AF"/>
    <w:rsid w:val="008D3604"/>
    <w:rsid w:val="008D3626"/>
    <w:rsid w:val="008D3765"/>
    <w:rsid w:val="008D3791"/>
    <w:rsid w:val="008D3848"/>
    <w:rsid w:val="008D3876"/>
    <w:rsid w:val="008D396A"/>
    <w:rsid w:val="008D399C"/>
    <w:rsid w:val="008D39D5"/>
    <w:rsid w:val="008D3ACB"/>
    <w:rsid w:val="008D3C06"/>
    <w:rsid w:val="008D3C84"/>
    <w:rsid w:val="008D3CB2"/>
    <w:rsid w:val="008D3D3B"/>
    <w:rsid w:val="008D3F6C"/>
    <w:rsid w:val="008D4000"/>
    <w:rsid w:val="008D41C1"/>
    <w:rsid w:val="008D4225"/>
    <w:rsid w:val="008D4392"/>
    <w:rsid w:val="008D43E5"/>
    <w:rsid w:val="008D4435"/>
    <w:rsid w:val="008D4463"/>
    <w:rsid w:val="008D46AD"/>
    <w:rsid w:val="008D4815"/>
    <w:rsid w:val="008D4842"/>
    <w:rsid w:val="008D492C"/>
    <w:rsid w:val="008D49EC"/>
    <w:rsid w:val="008D4A53"/>
    <w:rsid w:val="008D4BA0"/>
    <w:rsid w:val="008D4D17"/>
    <w:rsid w:val="008D4D9C"/>
    <w:rsid w:val="008D4E40"/>
    <w:rsid w:val="008D4E4E"/>
    <w:rsid w:val="008D5048"/>
    <w:rsid w:val="008D50B8"/>
    <w:rsid w:val="008D52D9"/>
    <w:rsid w:val="008D53C4"/>
    <w:rsid w:val="008D5424"/>
    <w:rsid w:val="008D5596"/>
    <w:rsid w:val="008D56B0"/>
    <w:rsid w:val="008D5862"/>
    <w:rsid w:val="008D586E"/>
    <w:rsid w:val="008D58C8"/>
    <w:rsid w:val="008D58EE"/>
    <w:rsid w:val="008D5944"/>
    <w:rsid w:val="008D59E8"/>
    <w:rsid w:val="008D5B4C"/>
    <w:rsid w:val="008D5D26"/>
    <w:rsid w:val="008D5F7C"/>
    <w:rsid w:val="008D6012"/>
    <w:rsid w:val="008D60B2"/>
    <w:rsid w:val="008D6203"/>
    <w:rsid w:val="008D6447"/>
    <w:rsid w:val="008D6523"/>
    <w:rsid w:val="008D6538"/>
    <w:rsid w:val="008D6572"/>
    <w:rsid w:val="008D65B5"/>
    <w:rsid w:val="008D6688"/>
    <w:rsid w:val="008D67AA"/>
    <w:rsid w:val="008D69EB"/>
    <w:rsid w:val="008D6A03"/>
    <w:rsid w:val="008D6B78"/>
    <w:rsid w:val="008D6BD5"/>
    <w:rsid w:val="008D6DA2"/>
    <w:rsid w:val="008D6E0D"/>
    <w:rsid w:val="008D727F"/>
    <w:rsid w:val="008D73D4"/>
    <w:rsid w:val="008D73EF"/>
    <w:rsid w:val="008D7559"/>
    <w:rsid w:val="008D7588"/>
    <w:rsid w:val="008D75D0"/>
    <w:rsid w:val="008D7682"/>
    <w:rsid w:val="008D769E"/>
    <w:rsid w:val="008D77E6"/>
    <w:rsid w:val="008D77FA"/>
    <w:rsid w:val="008D7884"/>
    <w:rsid w:val="008D790D"/>
    <w:rsid w:val="008D7A0C"/>
    <w:rsid w:val="008D7BAF"/>
    <w:rsid w:val="008D7BFA"/>
    <w:rsid w:val="008D7C73"/>
    <w:rsid w:val="008D7CAE"/>
    <w:rsid w:val="008E00C6"/>
    <w:rsid w:val="008E016A"/>
    <w:rsid w:val="008E0348"/>
    <w:rsid w:val="008E0413"/>
    <w:rsid w:val="008E043D"/>
    <w:rsid w:val="008E065F"/>
    <w:rsid w:val="008E077C"/>
    <w:rsid w:val="008E07BD"/>
    <w:rsid w:val="008E095B"/>
    <w:rsid w:val="008E0A09"/>
    <w:rsid w:val="008E0BED"/>
    <w:rsid w:val="008E0C08"/>
    <w:rsid w:val="008E0E42"/>
    <w:rsid w:val="008E0EEB"/>
    <w:rsid w:val="008E1019"/>
    <w:rsid w:val="008E106D"/>
    <w:rsid w:val="008E10F3"/>
    <w:rsid w:val="008E120C"/>
    <w:rsid w:val="008E1287"/>
    <w:rsid w:val="008E12C6"/>
    <w:rsid w:val="008E161F"/>
    <w:rsid w:val="008E18C6"/>
    <w:rsid w:val="008E18CD"/>
    <w:rsid w:val="008E18EC"/>
    <w:rsid w:val="008E190A"/>
    <w:rsid w:val="008E19DB"/>
    <w:rsid w:val="008E1A25"/>
    <w:rsid w:val="008E1B23"/>
    <w:rsid w:val="008E1CBD"/>
    <w:rsid w:val="008E1D50"/>
    <w:rsid w:val="008E1D81"/>
    <w:rsid w:val="008E1EBD"/>
    <w:rsid w:val="008E1ED6"/>
    <w:rsid w:val="008E2180"/>
    <w:rsid w:val="008E21AD"/>
    <w:rsid w:val="008E2331"/>
    <w:rsid w:val="008E23E5"/>
    <w:rsid w:val="008E24C2"/>
    <w:rsid w:val="008E250F"/>
    <w:rsid w:val="008E2763"/>
    <w:rsid w:val="008E2805"/>
    <w:rsid w:val="008E2A06"/>
    <w:rsid w:val="008E2A5D"/>
    <w:rsid w:val="008E2B04"/>
    <w:rsid w:val="008E2CB1"/>
    <w:rsid w:val="008E2CE1"/>
    <w:rsid w:val="008E2D09"/>
    <w:rsid w:val="008E2D0D"/>
    <w:rsid w:val="008E2D25"/>
    <w:rsid w:val="008E2D8D"/>
    <w:rsid w:val="008E2ED1"/>
    <w:rsid w:val="008E2F71"/>
    <w:rsid w:val="008E3304"/>
    <w:rsid w:val="008E33FC"/>
    <w:rsid w:val="008E3458"/>
    <w:rsid w:val="008E35A3"/>
    <w:rsid w:val="008E3710"/>
    <w:rsid w:val="008E38EF"/>
    <w:rsid w:val="008E3B5A"/>
    <w:rsid w:val="008E3F9A"/>
    <w:rsid w:val="008E4027"/>
    <w:rsid w:val="008E4115"/>
    <w:rsid w:val="008E41E2"/>
    <w:rsid w:val="008E41FB"/>
    <w:rsid w:val="008E4433"/>
    <w:rsid w:val="008E44C5"/>
    <w:rsid w:val="008E4882"/>
    <w:rsid w:val="008E489C"/>
    <w:rsid w:val="008E4956"/>
    <w:rsid w:val="008E4988"/>
    <w:rsid w:val="008E4AB0"/>
    <w:rsid w:val="008E4B43"/>
    <w:rsid w:val="008E4BBF"/>
    <w:rsid w:val="008E4BEA"/>
    <w:rsid w:val="008E4D4D"/>
    <w:rsid w:val="008E4DA4"/>
    <w:rsid w:val="008E4DFC"/>
    <w:rsid w:val="008E4ED3"/>
    <w:rsid w:val="008E4EDD"/>
    <w:rsid w:val="008E4F4D"/>
    <w:rsid w:val="008E4FB9"/>
    <w:rsid w:val="008E4FD1"/>
    <w:rsid w:val="008E50A6"/>
    <w:rsid w:val="008E5105"/>
    <w:rsid w:val="008E5360"/>
    <w:rsid w:val="008E5856"/>
    <w:rsid w:val="008E585B"/>
    <w:rsid w:val="008E5BFC"/>
    <w:rsid w:val="008E5D73"/>
    <w:rsid w:val="008E5DFE"/>
    <w:rsid w:val="008E5E50"/>
    <w:rsid w:val="008E6156"/>
    <w:rsid w:val="008E6555"/>
    <w:rsid w:val="008E6924"/>
    <w:rsid w:val="008E6A2F"/>
    <w:rsid w:val="008E6B83"/>
    <w:rsid w:val="008E6B90"/>
    <w:rsid w:val="008E6D82"/>
    <w:rsid w:val="008E70B2"/>
    <w:rsid w:val="008E722D"/>
    <w:rsid w:val="008E731C"/>
    <w:rsid w:val="008E7466"/>
    <w:rsid w:val="008E74A5"/>
    <w:rsid w:val="008E74D2"/>
    <w:rsid w:val="008E7590"/>
    <w:rsid w:val="008E75BA"/>
    <w:rsid w:val="008E75FD"/>
    <w:rsid w:val="008E781D"/>
    <w:rsid w:val="008E7971"/>
    <w:rsid w:val="008E79A0"/>
    <w:rsid w:val="008E7AC7"/>
    <w:rsid w:val="008E7E28"/>
    <w:rsid w:val="008E7E38"/>
    <w:rsid w:val="008F0434"/>
    <w:rsid w:val="008F0574"/>
    <w:rsid w:val="008F08B0"/>
    <w:rsid w:val="008F0C1E"/>
    <w:rsid w:val="008F0C4E"/>
    <w:rsid w:val="008F0C94"/>
    <w:rsid w:val="008F0E94"/>
    <w:rsid w:val="008F0FBF"/>
    <w:rsid w:val="008F129B"/>
    <w:rsid w:val="008F153E"/>
    <w:rsid w:val="008F15B1"/>
    <w:rsid w:val="008F1725"/>
    <w:rsid w:val="008F18F1"/>
    <w:rsid w:val="008F1986"/>
    <w:rsid w:val="008F1A99"/>
    <w:rsid w:val="008F1B70"/>
    <w:rsid w:val="008F1D03"/>
    <w:rsid w:val="008F1D96"/>
    <w:rsid w:val="008F1E1C"/>
    <w:rsid w:val="008F1E97"/>
    <w:rsid w:val="008F1EE0"/>
    <w:rsid w:val="008F1F29"/>
    <w:rsid w:val="008F1F8F"/>
    <w:rsid w:val="008F1FCA"/>
    <w:rsid w:val="008F1FD0"/>
    <w:rsid w:val="008F2159"/>
    <w:rsid w:val="008F220B"/>
    <w:rsid w:val="008F2669"/>
    <w:rsid w:val="008F272E"/>
    <w:rsid w:val="008F289A"/>
    <w:rsid w:val="008F2B19"/>
    <w:rsid w:val="008F2D93"/>
    <w:rsid w:val="008F2DC8"/>
    <w:rsid w:val="008F2DF2"/>
    <w:rsid w:val="008F307D"/>
    <w:rsid w:val="008F30FD"/>
    <w:rsid w:val="008F3171"/>
    <w:rsid w:val="008F32E6"/>
    <w:rsid w:val="008F32F9"/>
    <w:rsid w:val="008F3349"/>
    <w:rsid w:val="008F3440"/>
    <w:rsid w:val="008F358F"/>
    <w:rsid w:val="008F3600"/>
    <w:rsid w:val="008F368F"/>
    <w:rsid w:val="008F36A1"/>
    <w:rsid w:val="008F3812"/>
    <w:rsid w:val="008F3A55"/>
    <w:rsid w:val="008F3A7E"/>
    <w:rsid w:val="008F3A9C"/>
    <w:rsid w:val="008F3B35"/>
    <w:rsid w:val="008F4018"/>
    <w:rsid w:val="008F40B6"/>
    <w:rsid w:val="008F4199"/>
    <w:rsid w:val="008F4265"/>
    <w:rsid w:val="008F4353"/>
    <w:rsid w:val="008F4556"/>
    <w:rsid w:val="008F4625"/>
    <w:rsid w:val="008F46E9"/>
    <w:rsid w:val="008F4720"/>
    <w:rsid w:val="008F475D"/>
    <w:rsid w:val="008F4811"/>
    <w:rsid w:val="008F4821"/>
    <w:rsid w:val="008F482E"/>
    <w:rsid w:val="008F4932"/>
    <w:rsid w:val="008F49CD"/>
    <w:rsid w:val="008F4AC0"/>
    <w:rsid w:val="008F4CD9"/>
    <w:rsid w:val="008F4CEC"/>
    <w:rsid w:val="008F4D70"/>
    <w:rsid w:val="008F4D8C"/>
    <w:rsid w:val="008F51E5"/>
    <w:rsid w:val="008F5244"/>
    <w:rsid w:val="008F5259"/>
    <w:rsid w:val="008F5373"/>
    <w:rsid w:val="008F55B4"/>
    <w:rsid w:val="008F5638"/>
    <w:rsid w:val="008F57B8"/>
    <w:rsid w:val="008F58B5"/>
    <w:rsid w:val="008F58E2"/>
    <w:rsid w:val="008F5AE5"/>
    <w:rsid w:val="008F5C40"/>
    <w:rsid w:val="008F5D5B"/>
    <w:rsid w:val="008F5F25"/>
    <w:rsid w:val="008F5F4B"/>
    <w:rsid w:val="008F5FCE"/>
    <w:rsid w:val="008F5FEE"/>
    <w:rsid w:val="008F60BA"/>
    <w:rsid w:val="008F60FF"/>
    <w:rsid w:val="008F6191"/>
    <w:rsid w:val="008F61F7"/>
    <w:rsid w:val="008F61FC"/>
    <w:rsid w:val="008F634F"/>
    <w:rsid w:val="008F63BC"/>
    <w:rsid w:val="008F63FF"/>
    <w:rsid w:val="008F660A"/>
    <w:rsid w:val="008F6634"/>
    <w:rsid w:val="008F6811"/>
    <w:rsid w:val="008F683B"/>
    <w:rsid w:val="008F6871"/>
    <w:rsid w:val="008F6925"/>
    <w:rsid w:val="008F694B"/>
    <w:rsid w:val="008F6AA0"/>
    <w:rsid w:val="008F6C0E"/>
    <w:rsid w:val="008F6C36"/>
    <w:rsid w:val="008F6CC7"/>
    <w:rsid w:val="008F6D2C"/>
    <w:rsid w:val="008F6D8B"/>
    <w:rsid w:val="008F6E15"/>
    <w:rsid w:val="008F6F0B"/>
    <w:rsid w:val="008F710A"/>
    <w:rsid w:val="008F7167"/>
    <w:rsid w:val="008F7183"/>
    <w:rsid w:val="008F7244"/>
    <w:rsid w:val="008F7504"/>
    <w:rsid w:val="008F7522"/>
    <w:rsid w:val="008F765A"/>
    <w:rsid w:val="008F7684"/>
    <w:rsid w:val="008F7700"/>
    <w:rsid w:val="008F7736"/>
    <w:rsid w:val="008F7876"/>
    <w:rsid w:val="008F7A23"/>
    <w:rsid w:val="008F7A57"/>
    <w:rsid w:val="008F7C22"/>
    <w:rsid w:val="0090013F"/>
    <w:rsid w:val="00900245"/>
    <w:rsid w:val="00900322"/>
    <w:rsid w:val="009003B0"/>
    <w:rsid w:val="00900478"/>
    <w:rsid w:val="0090050C"/>
    <w:rsid w:val="009006BA"/>
    <w:rsid w:val="00900774"/>
    <w:rsid w:val="00900B7D"/>
    <w:rsid w:val="00900C9A"/>
    <w:rsid w:val="00900DC3"/>
    <w:rsid w:val="009010A9"/>
    <w:rsid w:val="00901125"/>
    <w:rsid w:val="00901231"/>
    <w:rsid w:val="009013C8"/>
    <w:rsid w:val="00901412"/>
    <w:rsid w:val="00901443"/>
    <w:rsid w:val="00901499"/>
    <w:rsid w:val="00901588"/>
    <w:rsid w:val="009015EB"/>
    <w:rsid w:val="0090165F"/>
    <w:rsid w:val="009018A9"/>
    <w:rsid w:val="009019DC"/>
    <w:rsid w:val="00901A16"/>
    <w:rsid w:val="00901AC6"/>
    <w:rsid w:val="00901B2F"/>
    <w:rsid w:val="00901B48"/>
    <w:rsid w:val="00901C30"/>
    <w:rsid w:val="00901CB6"/>
    <w:rsid w:val="00901D95"/>
    <w:rsid w:val="00901E38"/>
    <w:rsid w:val="00901E9E"/>
    <w:rsid w:val="00901F1A"/>
    <w:rsid w:val="009020D1"/>
    <w:rsid w:val="009023C7"/>
    <w:rsid w:val="009024BB"/>
    <w:rsid w:val="0090251A"/>
    <w:rsid w:val="009028BD"/>
    <w:rsid w:val="009028E8"/>
    <w:rsid w:val="00902986"/>
    <w:rsid w:val="00902B88"/>
    <w:rsid w:val="00902BA6"/>
    <w:rsid w:val="00902C84"/>
    <w:rsid w:val="00902C97"/>
    <w:rsid w:val="00902D9E"/>
    <w:rsid w:val="00902F1C"/>
    <w:rsid w:val="00903546"/>
    <w:rsid w:val="0090368F"/>
    <w:rsid w:val="009036C3"/>
    <w:rsid w:val="00903731"/>
    <w:rsid w:val="0090373C"/>
    <w:rsid w:val="009038B8"/>
    <w:rsid w:val="009038C1"/>
    <w:rsid w:val="00903907"/>
    <w:rsid w:val="00903AD3"/>
    <w:rsid w:val="00903B7B"/>
    <w:rsid w:val="00903C8B"/>
    <w:rsid w:val="00903CAB"/>
    <w:rsid w:val="00903E84"/>
    <w:rsid w:val="009043D1"/>
    <w:rsid w:val="00904455"/>
    <w:rsid w:val="009044D9"/>
    <w:rsid w:val="009045C7"/>
    <w:rsid w:val="00904616"/>
    <w:rsid w:val="00904779"/>
    <w:rsid w:val="00904868"/>
    <w:rsid w:val="00904A3A"/>
    <w:rsid w:val="00904B32"/>
    <w:rsid w:val="00904BED"/>
    <w:rsid w:val="00904E71"/>
    <w:rsid w:val="00904EFC"/>
    <w:rsid w:val="00904F3C"/>
    <w:rsid w:val="00905096"/>
    <w:rsid w:val="009056EC"/>
    <w:rsid w:val="00905740"/>
    <w:rsid w:val="00905790"/>
    <w:rsid w:val="009057BA"/>
    <w:rsid w:val="009057FB"/>
    <w:rsid w:val="00905865"/>
    <w:rsid w:val="0090595E"/>
    <w:rsid w:val="00905A58"/>
    <w:rsid w:val="00905A8D"/>
    <w:rsid w:val="00905ACF"/>
    <w:rsid w:val="00906029"/>
    <w:rsid w:val="0090609F"/>
    <w:rsid w:val="009060EA"/>
    <w:rsid w:val="0090612E"/>
    <w:rsid w:val="0090620D"/>
    <w:rsid w:val="00906210"/>
    <w:rsid w:val="00906264"/>
    <w:rsid w:val="0090628A"/>
    <w:rsid w:val="00906369"/>
    <w:rsid w:val="0090660B"/>
    <w:rsid w:val="00906696"/>
    <w:rsid w:val="009066C6"/>
    <w:rsid w:val="00906776"/>
    <w:rsid w:val="00906903"/>
    <w:rsid w:val="00906907"/>
    <w:rsid w:val="00906975"/>
    <w:rsid w:val="00906A09"/>
    <w:rsid w:val="00906A2F"/>
    <w:rsid w:val="00906A76"/>
    <w:rsid w:val="00906AB2"/>
    <w:rsid w:val="00906B2A"/>
    <w:rsid w:val="00906BA4"/>
    <w:rsid w:val="00906C74"/>
    <w:rsid w:val="00906C8F"/>
    <w:rsid w:val="00906DC2"/>
    <w:rsid w:val="00906DC7"/>
    <w:rsid w:val="00907079"/>
    <w:rsid w:val="00907126"/>
    <w:rsid w:val="009075A3"/>
    <w:rsid w:val="0090765A"/>
    <w:rsid w:val="00907786"/>
    <w:rsid w:val="00907997"/>
    <w:rsid w:val="009079A4"/>
    <w:rsid w:val="00907EBC"/>
    <w:rsid w:val="00907F70"/>
    <w:rsid w:val="00910255"/>
    <w:rsid w:val="009102AA"/>
    <w:rsid w:val="009102C0"/>
    <w:rsid w:val="00910327"/>
    <w:rsid w:val="009104A4"/>
    <w:rsid w:val="00910785"/>
    <w:rsid w:val="00910885"/>
    <w:rsid w:val="009109A2"/>
    <w:rsid w:val="00910A14"/>
    <w:rsid w:val="00910AA1"/>
    <w:rsid w:val="00910B9B"/>
    <w:rsid w:val="00910BDA"/>
    <w:rsid w:val="00910E6C"/>
    <w:rsid w:val="00910E7F"/>
    <w:rsid w:val="009110DE"/>
    <w:rsid w:val="00911A70"/>
    <w:rsid w:val="00911A76"/>
    <w:rsid w:val="00911D42"/>
    <w:rsid w:val="00911DD3"/>
    <w:rsid w:val="00911DE4"/>
    <w:rsid w:val="00911E35"/>
    <w:rsid w:val="00911E79"/>
    <w:rsid w:val="00911F9A"/>
    <w:rsid w:val="0091200E"/>
    <w:rsid w:val="0091207E"/>
    <w:rsid w:val="009120AA"/>
    <w:rsid w:val="0091210B"/>
    <w:rsid w:val="0091211B"/>
    <w:rsid w:val="00912215"/>
    <w:rsid w:val="00912288"/>
    <w:rsid w:val="00912299"/>
    <w:rsid w:val="0091231D"/>
    <w:rsid w:val="00912391"/>
    <w:rsid w:val="009124C4"/>
    <w:rsid w:val="0091260D"/>
    <w:rsid w:val="0091272F"/>
    <w:rsid w:val="00912812"/>
    <w:rsid w:val="00912AED"/>
    <w:rsid w:val="00912CDD"/>
    <w:rsid w:val="00912CEB"/>
    <w:rsid w:val="00912E53"/>
    <w:rsid w:val="00912F02"/>
    <w:rsid w:val="00913004"/>
    <w:rsid w:val="00913016"/>
    <w:rsid w:val="00913020"/>
    <w:rsid w:val="009130B5"/>
    <w:rsid w:val="00913179"/>
    <w:rsid w:val="009132A0"/>
    <w:rsid w:val="009133D2"/>
    <w:rsid w:val="009134D5"/>
    <w:rsid w:val="009137F9"/>
    <w:rsid w:val="0091382A"/>
    <w:rsid w:val="009138B1"/>
    <w:rsid w:val="00913A1D"/>
    <w:rsid w:val="00913A32"/>
    <w:rsid w:val="00913C90"/>
    <w:rsid w:val="00913FB3"/>
    <w:rsid w:val="00913FF9"/>
    <w:rsid w:val="009140A4"/>
    <w:rsid w:val="009141BC"/>
    <w:rsid w:val="009146B8"/>
    <w:rsid w:val="009146F8"/>
    <w:rsid w:val="00914701"/>
    <w:rsid w:val="00914798"/>
    <w:rsid w:val="00914BD1"/>
    <w:rsid w:val="00914C44"/>
    <w:rsid w:val="00914CB5"/>
    <w:rsid w:val="00914DDB"/>
    <w:rsid w:val="00914FD1"/>
    <w:rsid w:val="0091501B"/>
    <w:rsid w:val="009151C4"/>
    <w:rsid w:val="009152C8"/>
    <w:rsid w:val="009154CB"/>
    <w:rsid w:val="00915622"/>
    <w:rsid w:val="0091580E"/>
    <w:rsid w:val="00915844"/>
    <w:rsid w:val="009158F2"/>
    <w:rsid w:val="00915A0B"/>
    <w:rsid w:val="00915B95"/>
    <w:rsid w:val="00915C6D"/>
    <w:rsid w:val="00915C7A"/>
    <w:rsid w:val="00915FBE"/>
    <w:rsid w:val="0091600E"/>
    <w:rsid w:val="0091605F"/>
    <w:rsid w:val="009161C3"/>
    <w:rsid w:val="0091628C"/>
    <w:rsid w:val="00916375"/>
    <w:rsid w:val="009163A3"/>
    <w:rsid w:val="0091643C"/>
    <w:rsid w:val="009165D4"/>
    <w:rsid w:val="009166C2"/>
    <w:rsid w:val="009169DB"/>
    <w:rsid w:val="009169EB"/>
    <w:rsid w:val="009169FC"/>
    <w:rsid w:val="00916A9B"/>
    <w:rsid w:val="00916B2C"/>
    <w:rsid w:val="00916DEE"/>
    <w:rsid w:val="00916EDC"/>
    <w:rsid w:val="00916F44"/>
    <w:rsid w:val="0091704A"/>
    <w:rsid w:val="009170FA"/>
    <w:rsid w:val="00917111"/>
    <w:rsid w:val="0091712F"/>
    <w:rsid w:val="009173BE"/>
    <w:rsid w:val="00917413"/>
    <w:rsid w:val="00917600"/>
    <w:rsid w:val="00917629"/>
    <w:rsid w:val="0091766F"/>
    <w:rsid w:val="009176A5"/>
    <w:rsid w:val="009176DA"/>
    <w:rsid w:val="00917702"/>
    <w:rsid w:val="00917855"/>
    <w:rsid w:val="0091795E"/>
    <w:rsid w:val="00917ABF"/>
    <w:rsid w:val="00917B08"/>
    <w:rsid w:val="00917DE4"/>
    <w:rsid w:val="00917ED4"/>
    <w:rsid w:val="00917EE9"/>
    <w:rsid w:val="0092006F"/>
    <w:rsid w:val="00920089"/>
    <w:rsid w:val="009200E8"/>
    <w:rsid w:val="00920174"/>
    <w:rsid w:val="00920175"/>
    <w:rsid w:val="0092022F"/>
    <w:rsid w:val="009202C7"/>
    <w:rsid w:val="0092031F"/>
    <w:rsid w:val="00920382"/>
    <w:rsid w:val="0092039A"/>
    <w:rsid w:val="0092040E"/>
    <w:rsid w:val="00920436"/>
    <w:rsid w:val="0092045B"/>
    <w:rsid w:val="009204AC"/>
    <w:rsid w:val="00920680"/>
    <w:rsid w:val="009207D1"/>
    <w:rsid w:val="009209EE"/>
    <w:rsid w:val="00920AAD"/>
    <w:rsid w:val="00920ABA"/>
    <w:rsid w:val="00920B23"/>
    <w:rsid w:val="00920BEE"/>
    <w:rsid w:val="00920C82"/>
    <w:rsid w:val="00921058"/>
    <w:rsid w:val="0092120B"/>
    <w:rsid w:val="00921422"/>
    <w:rsid w:val="0092148A"/>
    <w:rsid w:val="009214C5"/>
    <w:rsid w:val="009215A4"/>
    <w:rsid w:val="009217B3"/>
    <w:rsid w:val="00921A5B"/>
    <w:rsid w:val="00921AA7"/>
    <w:rsid w:val="00921AC0"/>
    <w:rsid w:val="00921B07"/>
    <w:rsid w:val="00921D25"/>
    <w:rsid w:val="00921EA5"/>
    <w:rsid w:val="00921EA9"/>
    <w:rsid w:val="009220E1"/>
    <w:rsid w:val="00922234"/>
    <w:rsid w:val="00922285"/>
    <w:rsid w:val="009222A7"/>
    <w:rsid w:val="0092235B"/>
    <w:rsid w:val="009225AC"/>
    <w:rsid w:val="00922680"/>
    <w:rsid w:val="009226D7"/>
    <w:rsid w:val="00922844"/>
    <w:rsid w:val="009228EB"/>
    <w:rsid w:val="009229AB"/>
    <w:rsid w:val="009229BA"/>
    <w:rsid w:val="009229EB"/>
    <w:rsid w:val="00922E58"/>
    <w:rsid w:val="00922EB1"/>
    <w:rsid w:val="00922EC4"/>
    <w:rsid w:val="00922EE8"/>
    <w:rsid w:val="00922F61"/>
    <w:rsid w:val="00922FA8"/>
    <w:rsid w:val="0092305E"/>
    <w:rsid w:val="00923170"/>
    <w:rsid w:val="0092318D"/>
    <w:rsid w:val="009232B9"/>
    <w:rsid w:val="009232CC"/>
    <w:rsid w:val="0092335D"/>
    <w:rsid w:val="009233DD"/>
    <w:rsid w:val="0092352C"/>
    <w:rsid w:val="0092355C"/>
    <w:rsid w:val="009235BE"/>
    <w:rsid w:val="009235D6"/>
    <w:rsid w:val="009237A6"/>
    <w:rsid w:val="00923A78"/>
    <w:rsid w:val="00923AA2"/>
    <w:rsid w:val="00923AD6"/>
    <w:rsid w:val="00923B08"/>
    <w:rsid w:val="00923B1E"/>
    <w:rsid w:val="00923B6C"/>
    <w:rsid w:val="00923B7A"/>
    <w:rsid w:val="00923BB4"/>
    <w:rsid w:val="00923C88"/>
    <w:rsid w:val="00923D36"/>
    <w:rsid w:val="00923E98"/>
    <w:rsid w:val="00924006"/>
    <w:rsid w:val="009242BC"/>
    <w:rsid w:val="009244FD"/>
    <w:rsid w:val="00924589"/>
    <w:rsid w:val="00924590"/>
    <w:rsid w:val="009245DD"/>
    <w:rsid w:val="0092464E"/>
    <w:rsid w:val="0092470E"/>
    <w:rsid w:val="0092476D"/>
    <w:rsid w:val="009249D4"/>
    <w:rsid w:val="00924AA3"/>
    <w:rsid w:val="00924B2D"/>
    <w:rsid w:val="00924E97"/>
    <w:rsid w:val="00924EB9"/>
    <w:rsid w:val="00925001"/>
    <w:rsid w:val="009250FA"/>
    <w:rsid w:val="0092523D"/>
    <w:rsid w:val="0092526A"/>
    <w:rsid w:val="0092529E"/>
    <w:rsid w:val="00925417"/>
    <w:rsid w:val="009254EA"/>
    <w:rsid w:val="0092552C"/>
    <w:rsid w:val="00925573"/>
    <w:rsid w:val="00925604"/>
    <w:rsid w:val="00925805"/>
    <w:rsid w:val="0092585F"/>
    <w:rsid w:val="00925A20"/>
    <w:rsid w:val="00925A5B"/>
    <w:rsid w:val="00925EAD"/>
    <w:rsid w:val="00925F96"/>
    <w:rsid w:val="00925F9F"/>
    <w:rsid w:val="009260CF"/>
    <w:rsid w:val="00926161"/>
    <w:rsid w:val="009261BF"/>
    <w:rsid w:val="0092620A"/>
    <w:rsid w:val="00926230"/>
    <w:rsid w:val="009262EF"/>
    <w:rsid w:val="00926439"/>
    <w:rsid w:val="009265F1"/>
    <w:rsid w:val="0092676E"/>
    <w:rsid w:val="009267B7"/>
    <w:rsid w:val="009269A1"/>
    <w:rsid w:val="009269B9"/>
    <w:rsid w:val="009269CC"/>
    <w:rsid w:val="00926A85"/>
    <w:rsid w:val="00926DD6"/>
    <w:rsid w:val="00926F31"/>
    <w:rsid w:val="009272D7"/>
    <w:rsid w:val="00927331"/>
    <w:rsid w:val="00927349"/>
    <w:rsid w:val="009273FA"/>
    <w:rsid w:val="009275AC"/>
    <w:rsid w:val="00927608"/>
    <w:rsid w:val="0092766F"/>
    <w:rsid w:val="00927670"/>
    <w:rsid w:val="0092776A"/>
    <w:rsid w:val="00927A91"/>
    <w:rsid w:val="00927ADC"/>
    <w:rsid w:val="00927C8F"/>
    <w:rsid w:val="00927C97"/>
    <w:rsid w:val="00927FCE"/>
    <w:rsid w:val="00930187"/>
    <w:rsid w:val="0093021B"/>
    <w:rsid w:val="0093024F"/>
    <w:rsid w:val="00930516"/>
    <w:rsid w:val="009306C3"/>
    <w:rsid w:val="009307B1"/>
    <w:rsid w:val="00930846"/>
    <w:rsid w:val="00930AE1"/>
    <w:rsid w:val="00930C80"/>
    <w:rsid w:val="00930CD5"/>
    <w:rsid w:val="00930D5D"/>
    <w:rsid w:val="00930E18"/>
    <w:rsid w:val="00930FB6"/>
    <w:rsid w:val="00930FDB"/>
    <w:rsid w:val="00931094"/>
    <w:rsid w:val="009311FA"/>
    <w:rsid w:val="00931289"/>
    <w:rsid w:val="009312A0"/>
    <w:rsid w:val="009312D2"/>
    <w:rsid w:val="00931342"/>
    <w:rsid w:val="00931474"/>
    <w:rsid w:val="009314FF"/>
    <w:rsid w:val="00931833"/>
    <w:rsid w:val="009319EE"/>
    <w:rsid w:val="00931B12"/>
    <w:rsid w:val="00931B35"/>
    <w:rsid w:val="00931F3E"/>
    <w:rsid w:val="00931FE4"/>
    <w:rsid w:val="00932199"/>
    <w:rsid w:val="009322C0"/>
    <w:rsid w:val="00932378"/>
    <w:rsid w:val="009323B9"/>
    <w:rsid w:val="0093249A"/>
    <w:rsid w:val="009324C1"/>
    <w:rsid w:val="00932565"/>
    <w:rsid w:val="00932679"/>
    <w:rsid w:val="00932962"/>
    <w:rsid w:val="00932DCD"/>
    <w:rsid w:val="00932E86"/>
    <w:rsid w:val="009330B9"/>
    <w:rsid w:val="00933212"/>
    <w:rsid w:val="0093351B"/>
    <w:rsid w:val="00933575"/>
    <w:rsid w:val="009337AF"/>
    <w:rsid w:val="009338A5"/>
    <w:rsid w:val="009338CC"/>
    <w:rsid w:val="00933CFF"/>
    <w:rsid w:val="00933E1D"/>
    <w:rsid w:val="00933E43"/>
    <w:rsid w:val="00933FF3"/>
    <w:rsid w:val="009340DD"/>
    <w:rsid w:val="00934369"/>
    <w:rsid w:val="009343EA"/>
    <w:rsid w:val="00934689"/>
    <w:rsid w:val="009346BA"/>
    <w:rsid w:val="0093471C"/>
    <w:rsid w:val="00934881"/>
    <w:rsid w:val="00934946"/>
    <w:rsid w:val="00934948"/>
    <w:rsid w:val="00934C80"/>
    <w:rsid w:val="00934CDE"/>
    <w:rsid w:val="00934CF5"/>
    <w:rsid w:val="00934D6B"/>
    <w:rsid w:val="00935030"/>
    <w:rsid w:val="00935105"/>
    <w:rsid w:val="00935115"/>
    <w:rsid w:val="009352A7"/>
    <w:rsid w:val="0093541C"/>
    <w:rsid w:val="00935664"/>
    <w:rsid w:val="00935673"/>
    <w:rsid w:val="009356E3"/>
    <w:rsid w:val="00935937"/>
    <w:rsid w:val="00935BBD"/>
    <w:rsid w:val="00935C40"/>
    <w:rsid w:val="00935CAA"/>
    <w:rsid w:val="00935DE1"/>
    <w:rsid w:val="00935E9C"/>
    <w:rsid w:val="00935EDE"/>
    <w:rsid w:val="00935F28"/>
    <w:rsid w:val="00935FE8"/>
    <w:rsid w:val="00936258"/>
    <w:rsid w:val="00936260"/>
    <w:rsid w:val="009362DD"/>
    <w:rsid w:val="0093634A"/>
    <w:rsid w:val="009365FC"/>
    <w:rsid w:val="00936720"/>
    <w:rsid w:val="00936892"/>
    <w:rsid w:val="00936920"/>
    <w:rsid w:val="009369B8"/>
    <w:rsid w:val="00936B96"/>
    <w:rsid w:val="00936C08"/>
    <w:rsid w:val="00936C2C"/>
    <w:rsid w:val="00936F8B"/>
    <w:rsid w:val="00937048"/>
    <w:rsid w:val="00937055"/>
    <w:rsid w:val="00937067"/>
    <w:rsid w:val="00937076"/>
    <w:rsid w:val="0093709E"/>
    <w:rsid w:val="009371A6"/>
    <w:rsid w:val="009371B3"/>
    <w:rsid w:val="009371C2"/>
    <w:rsid w:val="00937278"/>
    <w:rsid w:val="00937414"/>
    <w:rsid w:val="009374BA"/>
    <w:rsid w:val="00937787"/>
    <w:rsid w:val="009378D3"/>
    <w:rsid w:val="00937918"/>
    <w:rsid w:val="00937A0C"/>
    <w:rsid w:val="00937A82"/>
    <w:rsid w:val="00937B10"/>
    <w:rsid w:val="00937B82"/>
    <w:rsid w:val="00937D03"/>
    <w:rsid w:val="00937DF2"/>
    <w:rsid w:val="00937E76"/>
    <w:rsid w:val="00937FF5"/>
    <w:rsid w:val="00940068"/>
    <w:rsid w:val="0094009B"/>
    <w:rsid w:val="00940315"/>
    <w:rsid w:val="0094037D"/>
    <w:rsid w:val="00940486"/>
    <w:rsid w:val="0094051E"/>
    <w:rsid w:val="00940727"/>
    <w:rsid w:val="00940858"/>
    <w:rsid w:val="0094089E"/>
    <w:rsid w:val="00940A08"/>
    <w:rsid w:val="00940AF5"/>
    <w:rsid w:val="00940B4E"/>
    <w:rsid w:val="00940DB8"/>
    <w:rsid w:val="00940E98"/>
    <w:rsid w:val="00940F26"/>
    <w:rsid w:val="00940F87"/>
    <w:rsid w:val="00940FAE"/>
    <w:rsid w:val="009410B6"/>
    <w:rsid w:val="00941135"/>
    <w:rsid w:val="0094119F"/>
    <w:rsid w:val="00941259"/>
    <w:rsid w:val="009412F8"/>
    <w:rsid w:val="00941320"/>
    <w:rsid w:val="00941401"/>
    <w:rsid w:val="009414B1"/>
    <w:rsid w:val="0094159E"/>
    <w:rsid w:val="00941699"/>
    <w:rsid w:val="00941776"/>
    <w:rsid w:val="0094189F"/>
    <w:rsid w:val="00941B95"/>
    <w:rsid w:val="00941C0C"/>
    <w:rsid w:val="00941E74"/>
    <w:rsid w:val="00941F32"/>
    <w:rsid w:val="009420FB"/>
    <w:rsid w:val="009426FC"/>
    <w:rsid w:val="009428B1"/>
    <w:rsid w:val="009428E4"/>
    <w:rsid w:val="0094296F"/>
    <w:rsid w:val="009429F6"/>
    <w:rsid w:val="00942CA3"/>
    <w:rsid w:val="00943016"/>
    <w:rsid w:val="009430C1"/>
    <w:rsid w:val="0094319A"/>
    <w:rsid w:val="009431C8"/>
    <w:rsid w:val="009431D7"/>
    <w:rsid w:val="00943337"/>
    <w:rsid w:val="0094348C"/>
    <w:rsid w:val="00943516"/>
    <w:rsid w:val="00943557"/>
    <w:rsid w:val="00943580"/>
    <w:rsid w:val="009435DE"/>
    <w:rsid w:val="009435E8"/>
    <w:rsid w:val="00943652"/>
    <w:rsid w:val="0094369E"/>
    <w:rsid w:val="0094373F"/>
    <w:rsid w:val="00943843"/>
    <w:rsid w:val="0094398E"/>
    <w:rsid w:val="009439F0"/>
    <w:rsid w:val="00943B68"/>
    <w:rsid w:val="00943CF5"/>
    <w:rsid w:val="00943E9B"/>
    <w:rsid w:val="00943E9E"/>
    <w:rsid w:val="00943EE4"/>
    <w:rsid w:val="00943EF0"/>
    <w:rsid w:val="00943F48"/>
    <w:rsid w:val="00943F79"/>
    <w:rsid w:val="0094405B"/>
    <w:rsid w:val="009440AE"/>
    <w:rsid w:val="009440E4"/>
    <w:rsid w:val="0094415E"/>
    <w:rsid w:val="009441AA"/>
    <w:rsid w:val="009441C0"/>
    <w:rsid w:val="00944254"/>
    <w:rsid w:val="00944356"/>
    <w:rsid w:val="009443C3"/>
    <w:rsid w:val="0094446F"/>
    <w:rsid w:val="00944566"/>
    <w:rsid w:val="00944664"/>
    <w:rsid w:val="00944727"/>
    <w:rsid w:val="009447F0"/>
    <w:rsid w:val="0094483B"/>
    <w:rsid w:val="00944886"/>
    <w:rsid w:val="00944888"/>
    <w:rsid w:val="009448D4"/>
    <w:rsid w:val="00944AA9"/>
    <w:rsid w:val="00944C85"/>
    <w:rsid w:val="00944CB5"/>
    <w:rsid w:val="00944D93"/>
    <w:rsid w:val="00944DD4"/>
    <w:rsid w:val="00944EA1"/>
    <w:rsid w:val="00944F3D"/>
    <w:rsid w:val="00945036"/>
    <w:rsid w:val="009450E6"/>
    <w:rsid w:val="00945115"/>
    <w:rsid w:val="00945118"/>
    <w:rsid w:val="009452F3"/>
    <w:rsid w:val="009454DB"/>
    <w:rsid w:val="009455AA"/>
    <w:rsid w:val="00945602"/>
    <w:rsid w:val="0094567C"/>
    <w:rsid w:val="00945764"/>
    <w:rsid w:val="009457C2"/>
    <w:rsid w:val="009457CE"/>
    <w:rsid w:val="009457FE"/>
    <w:rsid w:val="00945907"/>
    <w:rsid w:val="00945952"/>
    <w:rsid w:val="0094598B"/>
    <w:rsid w:val="009459B0"/>
    <w:rsid w:val="00945A56"/>
    <w:rsid w:val="00945BC5"/>
    <w:rsid w:val="00945BE9"/>
    <w:rsid w:val="00945C33"/>
    <w:rsid w:val="00945C67"/>
    <w:rsid w:val="00945DA7"/>
    <w:rsid w:val="00945DB5"/>
    <w:rsid w:val="00945E18"/>
    <w:rsid w:val="00945E3A"/>
    <w:rsid w:val="00945E53"/>
    <w:rsid w:val="00945F2D"/>
    <w:rsid w:val="00945FB8"/>
    <w:rsid w:val="0094600A"/>
    <w:rsid w:val="00946018"/>
    <w:rsid w:val="00946302"/>
    <w:rsid w:val="009463E5"/>
    <w:rsid w:val="00946408"/>
    <w:rsid w:val="009464C3"/>
    <w:rsid w:val="00946748"/>
    <w:rsid w:val="0094678C"/>
    <w:rsid w:val="009467CA"/>
    <w:rsid w:val="009467D9"/>
    <w:rsid w:val="009469A7"/>
    <w:rsid w:val="00946AAE"/>
    <w:rsid w:val="00946AF1"/>
    <w:rsid w:val="00946B71"/>
    <w:rsid w:val="00946E96"/>
    <w:rsid w:val="00946F5E"/>
    <w:rsid w:val="00946F7F"/>
    <w:rsid w:val="00946F9A"/>
    <w:rsid w:val="00947033"/>
    <w:rsid w:val="00947061"/>
    <w:rsid w:val="00947074"/>
    <w:rsid w:val="0094734D"/>
    <w:rsid w:val="0094747E"/>
    <w:rsid w:val="009474F3"/>
    <w:rsid w:val="00947552"/>
    <w:rsid w:val="009475FE"/>
    <w:rsid w:val="0094769C"/>
    <w:rsid w:val="009476D9"/>
    <w:rsid w:val="009477E4"/>
    <w:rsid w:val="00947808"/>
    <w:rsid w:val="009478BA"/>
    <w:rsid w:val="009479EB"/>
    <w:rsid w:val="00947A0D"/>
    <w:rsid w:val="00947A32"/>
    <w:rsid w:val="00947AB2"/>
    <w:rsid w:val="00947E00"/>
    <w:rsid w:val="00947F86"/>
    <w:rsid w:val="00947FFE"/>
    <w:rsid w:val="00950026"/>
    <w:rsid w:val="00950568"/>
    <w:rsid w:val="009505F1"/>
    <w:rsid w:val="009506A5"/>
    <w:rsid w:val="0095079C"/>
    <w:rsid w:val="00950880"/>
    <w:rsid w:val="0095088C"/>
    <w:rsid w:val="009509B0"/>
    <w:rsid w:val="009509BC"/>
    <w:rsid w:val="00950A16"/>
    <w:rsid w:val="00950C03"/>
    <w:rsid w:val="00950E71"/>
    <w:rsid w:val="00950F35"/>
    <w:rsid w:val="00950F5C"/>
    <w:rsid w:val="00950F84"/>
    <w:rsid w:val="009510DA"/>
    <w:rsid w:val="0095135E"/>
    <w:rsid w:val="009514A5"/>
    <w:rsid w:val="009517BC"/>
    <w:rsid w:val="009519C3"/>
    <w:rsid w:val="00951C1B"/>
    <w:rsid w:val="00951D1E"/>
    <w:rsid w:val="00951E5B"/>
    <w:rsid w:val="00951E80"/>
    <w:rsid w:val="00951E8A"/>
    <w:rsid w:val="00951ED4"/>
    <w:rsid w:val="00951F28"/>
    <w:rsid w:val="00951FFA"/>
    <w:rsid w:val="0095210D"/>
    <w:rsid w:val="009521FC"/>
    <w:rsid w:val="0095234C"/>
    <w:rsid w:val="00952659"/>
    <w:rsid w:val="00952660"/>
    <w:rsid w:val="009526AA"/>
    <w:rsid w:val="009526F1"/>
    <w:rsid w:val="0095281E"/>
    <w:rsid w:val="009528FB"/>
    <w:rsid w:val="009528FF"/>
    <w:rsid w:val="0095297C"/>
    <w:rsid w:val="00952A3B"/>
    <w:rsid w:val="00952C94"/>
    <w:rsid w:val="00952CB2"/>
    <w:rsid w:val="00952D3B"/>
    <w:rsid w:val="00952D5C"/>
    <w:rsid w:val="00952D5F"/>
    <w:rsid w:val="00952E8A"/>
    <w:rsid w:val="00952F05"/>
    <w:rsid w:val="00952F9F"/>
    <w:rsid w:val="00953018"/>
    <w:rsid w:val="00953072"/>
    <w:rsid w:val="009530FB"/>
    <w:rsid w:val="00953101"/>
    <w:rsid w:val="00953387"/>
    <w:rsid w:val="00953414"/>
    <w:rsid w:val="00953415"/>
    <w:rsid w:val="00953646"/>
    <w:rsid w:val="0095364E"/>
    <w:rsid w:val="00953707"/>
    <w:rsid w:val="00953842"/>
    <w:rsid w:val="009538B8"/>
    <w:rsid w:val="0095393C"/>
    <w:rsid w:val="00953A23"/>
    <w:rsid w:val="00953B54"/>
    <w:rsid w:val="00953BCB"/>
    <w:rsid w:val="00953BE6"/>
    <w:rsid w:val="00953C70"/>
    <w:rsid w:val="00953CFF"/>
    <w:rsid w:val="00953DD8"/>
    <w:rsid w:val="00954053"/>
    <w:rsid w:val="009540F3"/>
    <w:rsid w:val="009542AB"/>
    <w:rsid w:val="00954450"/>
    <w:rsid w:val="00954490"/>
    <w:rsid w:val="009545FE"/>
    <w:rsid w:val="009546B6"/>
    <w:rsid w:val="0095481A"/>
    <w:rsid w:val="009549E1"/>
    <w:rsid w:val="00954A24"/>
    <w:rsid w:val="00954A29"/>
    <w:rsid w:val="00954B78"/>
    <w:rsid w:val="00954D60"/>
    <w:rsid w:val="00954E00"/>
    <w:rsid w:val="00954E59"/>
    <w:rsid w:val="00954ED6"/>
    <w:rsid w:val="00955099"/>
    <w:rsid w:val="009552D5"/>
    <w:rsid w:val="00955446"/>
    <w:rsid w:val="0095545D"/>
    <w:rsid w:val="009554D0"/>
    <w:rsid w:val="00955638"/>
    <w:rsid w:val="00955784"/>
    <w:rsid w:val="009559A8"/>
    <w:rsid w:val="00955B57"/>
    <w:rsid w:val="00955BA9"/>
    <w:rsid w:val="00955E48"/>
    <w:rsid w:val="00955F88"/>
    <w:rsid w:val="00956059"/>
    <w:rsid w:val="00956080"/>
    <w:rsid w:val="009560D0"/>
    <w:rsid w:val="009560E5"/>
    <w:rsid w:val="0095614B"/>
    <w:rsid w:val="00956231"/>
    <w:rsid w:val="0095662B"/>
    <w:rsid w:val="00956664"/>
    <w:rsid w:val="00956665"/>
    <w:rsid w:val="009566E4"/>
    <w:rsid w:val="0095678B"/>
    <w:rsid w:val="00956832"/>
    <w:rsid w:val="00956919"/>
    <w:rsid w:val="00956959"/>
    <w:rsid w:val="00956989"/>
    <w:rsid w:val="00956A29"/>
    <w:rsid w:val="00956A6C"/>
    <w:rsid w:val="00956AAE"/>
    <w:rsid w:val="00956B05"/>
    <w:rsid w:val="00956B8F"/>
    <w:rsid w:val="00956C2F"/>
    <w:rsid w:val="00956D66"/>
    <w:rsid w:val="00956F1A"/>
    <w:rsid w:val="00956FC1"/>
    <w:rsid w:val="009571BE"/>
    <w:rsid w:val="00957224"/>
    <w:rsid w:val="009572CF"/>
    <w:rsid w:val="00957322"/>
    <w:rsid w:val="00957838"/>
    <w:rsid w:val="009578CF"/>
    <w:rsid w:val="009579C7"/>
    <w:rsid w:val="009579F8"/>
    <w:rsid w:val="00957A2D"/>
    <w:rsid w:val="00957CC2"/>
    <w:rsid w:val="00957D9C"/>
    <w:rsid w:val="00957DB5"/>
    <w:rsid w:val="00957F70"/>
    <w:rsid w:val="00960081"/>
    <w:rsid w:val="00960141"/>
    <w:rsid w:val="009601AB"/>
    <w:rsid w:val="009601AF"/>
    <w:rsid w:val="00960360"/>
    <w:rsid w:val="0096040E"/>
    <w:rsid w:val="00960497"/>
    <w:rsid w:val="0096067E"/>
    <w:rsid w:val="0096097D"/>
    <w:rsid w:val="00960B32"/>
    <w:rsid w:val="00960CAF"/>
    <w:rsid w:val="00961051"/>
    <w:rsid w:val="0096108B"/>
    <w:rsid w:val="0096109D"/>
    <w:rsid w:val="00961140"/>
    <w:rsid w:val="009611DC"/>
    <w:rsid w:val="0096127E"/>
    <w:rsid w:val="0096145D"/>
    <w:rsid w:val="0096158E"/>
    <w:rsid w:val="00961816"/>
    <w:rsid w:val="00961A15"/>
    <w:rsid w:val="00961A25"/>
    <w:rsid w:val="00961B13"/>
    <w:rsid w:val="00961B6B"/>
    <w:rsid w:val="00961CD0"/>
    <w:rsid w:val="00961F33"/>
    <w:rsid w:val="00961FA4"/>
    <w:rsid w:val="0096213C"/>
    <w:rsid w:val="009621C7"/>
    <w:rsid w:val="00962305"/>
    <w:rsid w:val="009623FD"/>
    <w:rsid w:val="0096256F"/>
    <w:rsid w:val="0096264C"/>
    <w:rsid w:val="0096267F"/>
    <w:rsid w:val="00962AB6"/>
    <w:rsid w:val="00962BB8"/>
    <w:rsid w:val="00962C04"/>
    <w:rsid w:val="00962C29"/>
    <w:rsid w:val="00962C61"/>
    <w:rsid w:val="00962C8C"/>
    <w:rsid w:val="00962D13"/>
    <w:rsid w:val="00962FE4"/>
    <w:rsid w:val="00963377"/>
    <w:rsid w:val="00963437"/>
    <w:rsid w:val="009635BF"/>
    <w:rsid w:val="009635DF"/>
    <w:rsid w:val="009636D2"/>
    <w:rsid w:val="0096373F"/>
    <w:rsid w:val="0096379E"/>
    <w:rsid w:val="009638AB"/>
    <w:rsid w:val="009638AE"/>
    <w:rsid w:val="00963923"/>
    <w:rsid w:val="00963997"/>
    <w:rsid w:val="009639AC"/>
    <w:rsid w:val="009639AE"/>
    <w:rsid w:val="009639BD"/>
    <w:rsid w:val="00963BFF"/>
    <w:rsid w:val="00963D30"/>
    <w:rsid w:val="00963D42"/>
    <w:rsid w:val="00963D4C"/>
    <w:rsid w:val="00964032"/>
    <w:rsid w:val="00964154"/>
    <w:rsid w:val="009642EA"/>
    <w:rsid w:val="009643D8"/>
    <w:rsid w:val="00964454"/>
    <w:rsid w:val="00964601"/>
    <w:rsid w:val="009646C8"/>
    <w:rsid w:val="00964829"/>
    <w:rsid w:val="00964839"/>
    <w:rsid w:val="009648FA"/>
    <w:rsid w:val="00964CAB"/>
    <w:rsid w:val="00964CD8"/>
    <w:rsid w:val="0096500D"/>
    <w:rsid w:val="0096505D"/>
    <w:rsid w:val="00965165"/>
    <w:rsid w:val="0096518F"/>
    <w:rsid w:val="009651BF"/>
    <w:rsid w:val="00965375"/>
    <w:rsid w:val="0096541C"/>
    <w:rsid w:val="00965526"/>
    <w:rsid w:val="009655A3"/>
    <w:rsid w:val="009655F9"/>
    <w:rsid w:val="009657C2"/>
    <w:rsid w:val="009657D8"/>
    <w:rsid w:val="00965871"/>
    <w:rsid w:val="00965929"/>
    <w:rsid w:val="00965960"/>
    <w:rsid w:val="00965970"/>
    <w:rsid w:val="00965A24"/>
    <w:rsid w:val="00965B54"/>
    <w:rsid w:val="00965E54"/>
    <w:rsid w:val="00965F2F"/>
    <w:rsid w:val="00965F49"/>
    <w:rsid w:val="009660FD"/>
    <w:rsid w:val="0096632D"/>
    <w:rsid w:val="00966339"/>
    <w:rsid w:val="009663AA"/>
    <w:rsid w:val="0096641D"/>
    <w:rsid w:val="009665D1"/>
    <w:rsid w:val="009666B8"/>
    <w:rsid w:val="00966769"/>
    <w:rsid w:val="009668C6"/>
    <w:rsid w:val="009669AB"/>
    <w:rsid w:val="00966AD7"/>
    <w:rsid w:val="00966C2D"/>
    <w:rsid w:val="00966E10"/>
    <w:rsid w:val="00966FC6"/>
    <w:rsid w:val="00966FD9"/>
    <w:rsid w:val="009670D6"/>
    <w:rsid w:val="00967167"/>
    <w:rsid w:val="0096718F"/>
    <w:rsid w:val="00967199"/>
    <w:rsid w:val="009671DF"/>
    <w:rsid w:val="009672E4"/>
    <w:rsid w:val="009672F4"/>
    <w:rsid w:val="00967524"/>
    <w:rsid w:val="009675F4"/>
    <w:rsid w:val="00967774"/>
    <w:rsid w:val="0096777F"/>
    <w:rsid w:val="00967794"/>
    <w:rsid w:val="00967A24"/>
    <w:rsid w:val="00967B3F"/>
    <w:rsid w:val="00967C72"/>
    <w:rsid w:val="0097023A"/>
    <w:rsid w:val="00970301"/>
    <w:rsid w:val="0097043B"/>
    <w:rsid w:val="00970546"/>
    <w:rsid w:val="0097061C"/>
    <w:rsid w:val="00970687"/>
    <w:rsid w:val="00970721"/>
    <w:rsid w:val="009707A9"/>
    <w:rsid w:val="009707DA"/>
    <w:rsid w:val="00970817"/>
    <w:rsid w:val="00970B7E"/>
    <w:rsid w:val="00970B92"/>
    <w:rsid w:val="00970CA6"/>
    <w:rsid w:val="00970EAD"/>
    <w:rsid w:val="00970F06"/>
    <w:rsid w:val="00971001"/>
    <w:rsid w:val="0097117C"/>
    <w:rsid w:val="00971289"/>
    <w:rsid w:val="009713A9"/>
    <w:rsid w:val="009714B7"/>
    <w:rsid w:val="00971604"/>
    <w:rsid w:val="0097163B"/>
    <w:rsid w:val="00971664"/>
    <w:rsid w:val="0097167C"/>
    <w:rsid w:val="0097169F"/>
    <w:rsid w:val="009716A8"/>
    <w:rsid w:val="009716D6"/>
    <w:rsid w:val="0097188D"/>
    <w:rsid w:val="00971992"/>
    <w:rsid w:val="009719C4"/>
    <w:rsid w:val="00971A9F"/>
    <w:rsid w:val="00971BDD"/>
    <w:rsid w:val="00971BF9"/>
    <w:rsid w:val="00971C94"/>
    <w:rsid w:val="00971D84"/>
    <w:rsid w:val="00971F05"/>
    <w:rsid w:val="00971F3A"/>
    <w:rsid w:val="00971FED"/>
    <w:rsid w:val="00972021"/>
    <w:rsid w:val="0097206A"/>
    <w:rsid w:val="00972244"/>
    <w:rsid w:val="00972288"/>
    <w:rsid w:val="009723C3"/>
    <w:rsid w:val="0097247E"/>
    <w:rsid w:val="00972497"/>
    <w:rsid w:val="00972607"/>
    <w:rsid w:val="0097288B"/>
    <w:rsid w:val="009728E5"/>
    <w:rsid w:val="00972B8F"/>
    <w:rsid w:val="00972E43"/>
    <w:rsid w:val="00972E6C"/>
    <w:rsid w:val="00972FD3"/>
    <w:rsid w:val="009731F3"/>
    <w:rsid w:val="0097327B"/>
    <w:rsid w:val="009733A6"/>
    <w:rsid w:val="00973468"/>
    <w:rsid w:val="009734C8"/>
    <w:rsid w:val="00973536"/>
    <w:rsid w:val="009735A3"/>
    <w:rsid w:val="009735EB"/>
    <w:rsid w:val="0097363E"/>
    <w:rsid w:val="0097372E"/>
    <w:rsid w:val="00973791"/>
    <w:rsid w:val="00973813"/>
    <w:rsid w:val="00973968"/>
    <w:rsid w:val="009739B3"/>
    <w:rsid w:val="00973C5E"/>
    <w:rsid w:val="00973CDD"/>
    <w:rsid w:val="00973FC2"/>
    <w:rsid w:val="00974059"/>
    <w:rsid w:val="00974071"/>
    <w:rsid w:val="009740B3"/>
    <w:rsid w:val="00974357"/>
    <w:rsid w:val="009745A3"/>
    <w:rsid w:val="00974686"/>
    <w:rsid w:val="00974873"/>
    <w:rsid w:val="00974C35"/>
    <w:rsid w:val="00974CBE"/>
    <w:rsid w:val="00974CC3"/>
    <w:rsid w:val="00975011"/>
    <w:rsid w:val="009750D2"/>
    <w:rsid w:val="0097516B"/>
    <w:rsid w:val="00975217"/>
    <w:rsid w:val="00975360"/>
    <w:rsid w:val="00975469"/>
    <w:rsid w:val="00975482"/>
    <w:rsid w:val="009756DE"/>
    <w:rsid w:val="00975739"/>
    <w:rsid w:val="0097577E"/>
    <w:rsid w:val="00975A17"/>
    <w:rsid w:val="00975C04"/>
    <w:rsid w:val="00975C57"/>
    <w:rsid w:val="00975D90"/>
    <w:rsid w:val="00975E3A"/>
    <w:rsid w:val="00975E87"/>
    <w:rsid w:val="00975ECA"/>
    <w:rsid w:val="00975ED8"/>
    <w:rsid w:val="00975F19"/>
    <w:rsid w:val="00975F58"/>
    <w:rsid w:val="009761E6"/>
    <w:rsid w:val="00976278"/>
    <w:rsid w:val="00976341"/>
    <w:rsid w:val="009763F4"/>
    <w:rsid w:val="009764F4"/>
    <w:rsid w:val="009765EF"/>
    <w:rsid w:val="009765FF"/>
    <w:rsid w:val="00976645"/>
    <w:rsid w:val="0097666E"/>
    <w:rsid w:val="009767F0"/>
    <w:rsid w:val="009768B8"/>
    <w:rsid w:val="009768F4"/>
    <w:rsid w:val="00976926"/>
    <w:rsid w:val="00976B89"/>
    <w:rsid w:val="00976C1B"/>
    <w:rsid w:val="00976E98"/>
    <w:rsid w:val="00976EA9"/>
    <w:rsid w:val="00976F52"/>
    <w:rsid w:val="00977108"/>
    <w:rsid w:val="00977205"/>
    <w:rsid w:val="0097751C"/>
    <w:rsid w:val="00977542"/>
    <w:rsid w:val="00977818"/>
    <w:rsid w:val="00977921"/>
    <w:rsid w:val="00977980"/>
    <w:rsid w:val="009779C0"/>
    <w:rsid w:val="009779D3"/>
    <w:rsid w:val="00977B4E"/>
    <w:rsid w:val="00977EAB"/>
    <w:rsid w:val="00977EB8"/>
    <w:rsid w:val="00980015"/>
    <w:rsid w:val="00980364"/>
    <w:rsid w:val="00980421"/>
    <w:rsid w:val="00980499"/>
    <w:rsid w:val="009805B9"/>
    <w:rsid w:val="009806F0"/>
    <w:rsid w:val="00980782"/>
    <w:rsid w:val="0098087D"/>
    <w:rsid w:val="009808A5"/>
    <w:rsid w:val="00980983"/>
    <w:rsid w:val="00980A3A"/>
    <w:rsid w:val="00980ADE"/>
    <w:rsid w:val="00980CED"/>
    <w:rsid w:val="00980D10"/>
    <w:rsid w:val="00980E03"/>
    <w:rsid w:val="00980EE2"/>
    <w:rsid w:val="009810F2"/>
    <w:rsid w:val="0098115B"/>
    <w:rsid w:val="00981295"/>
    <w:rsid w:val="009816E1"/>
    <w:rsid w:val="009816E6"/>
    <w:rsid w:val="009816E7"/>
    <w:rsid w:val="00981797"/>
    <w:rsid w:val="009817F7"/>
    <w:rsid w:val="009817FA"/>
    <w:rsid w:val="0098180E"/>
    <w:rsid w:val="00981855"/>
    <w:rsid w:val="009818E2"/>
    <w:rsid w:val="00981A06"/>
    <w:rsid w:val="00981CE9"/>
    <w:rsid w:val="00981DA5"/>
    <w:rsid w:val="00981E88"/>
    <w:rsid w:val="009820B2"/>
    <w:rsid w:val="009820B3"/>
    <w:rsid w:val="0098211B"/>
    <w:rsid w:val="009821AA"/>
    <w:rsid w:val="0098222F"/>
    <w:rsid w:val="00982262"/>
    <w:rsid w:val="00982336"/>
    <w:rsid w:val="009823DB"/>
    <w:rsid w:val="00982448"/>
    <w:rsid w:val="009824A3"/>
    <w:rsid w:val="0098263C"/>
    <w:rsid w:val="0098267C"/>
    <w:rsid w:val="009826A7"/>
    <w:rsid w:val="009828CF"/>
    <w:rsid w:val="00982A2B"/>
    <w:rsid w:val="00982B91"/>
    <w:rsid w:val="00982D84"/>
    <w:rsid w:val="00982D8D"/>
    <w:rsid w:val="00982DE6"/>
    <w:rsid w:val="00982E07"/>
    <w:rsid w:val="00982E10"/>
    <w:rsid w:val="00982E12"/>
    <w:rsid w:val="009830A0"/>
    <w:rsid w:val="009830F3"/>
    <w:rsid w:val="00983134"/>
    <w:rsid w:val="0098320C"/>
    <w:rsid w:val="00983228"/>
    <w:rsid w:val="009833DA"/>
    <w:rsid w:val="00983531"/>
    <w:rsid w:val="00983605"/>
    <w:rsid w:val="0098365D"/>
    <w:rsid w:val="00983674"/>
    <w:rsid w:val="0098377F"/>
    <w:rsid w:val="00983798"/>
    <w:rsid w:val="00983866"/>
    <w:rsid w:val="00983AEA"/>
    <w:rsid w:val="00983B30"/>
    <w:rsid w:val="00983B40"/>
    <w:rsid w:val="00983BB9"/>
    <w:rsid w:val="00983CC6"/>
    <w:rsid w:val="00983EA5"/>
    <w:rsid w:val="00983F8A"/>
    <w:rsid w:val="00984118"/>
    <w:rsid w:val="009841E9"/>
    <w:rsid w:val="0098425F"/>
    <w:rsid w:val="00984345"/>
    <w:rsid w:val="009844D0"/>
    <w:rsid w:val="009844F7"/>
    <w:rsid w:val="00984549"/>
    <w:rsid w:val="0098454E"/>
    <w:rsid w:val="009846CC"/>
    <w:rsid w:val="00984799"/>
    <w:rsid w:val="00984808"/>
    <w:rsid w:val="0098482E"/>
    <w:rsid w:val="0098482F"/>
    <w:rsid w:val="009848F4"/>
    <w:rsid w:val="009849FD"/>
    <w:rsid w:val="00984B09"/>
    <w:rsid w:val="00984B87"/>
    <w:rsid w:val="0098523B"/>
    <w:rsid w:val="00985363"/>
    <w:rsid w:val="009853F9"/>
    <w:rsid w:val="00985439"/>
    <w:rsid w:val="00985473"/>
    <w:rsid w:val="009855AF"/>
    <w:rsid w:val="00985884"/>
    <w:rsid w:val="009859B0"/>
    <w:rsid w:val="00985A66"/>
    <w:rsid w:val="00985AC3"/>
    <w:rsid w:val="00985B85"/>
    <w:rsid w:val="00985B8F"/>
    <w:rsid w:val="00985C61"/>
    <w:rsid w:val="00986048"/>
    <w:rsid w:val="0098611B"/>
    <w:rsid w:val="00986159"/>
    <w:rsid w:val="0098617C"/>
    <w:rsid w:val="00986217"/>
    <w:rsid w:val="009866F9"/>
    <w:rsid w:val="009867B1"/>
    <w:rsid w:val="00986A39"/>
    <w:rsid w:val="00986AE0"/>
    <w:rsid w:val="00986B0D"/>
    <w:rsid w:val="00986C98"/>
    <w:rsid w:val="00986DB0"/>
    <w:rsid w:val="00986F94"/>
    <w:rsid w:val="00987048"/>
    <w:rsid w:val="009872DA"/>
    <w:rsid w:val="009872FD"/>
    <w:rsid w:val="00987360"/>
    <w:rsid w:val="0098745B"/>
    <w:rsid w:val="00987495"/>
    <w:rsid w:val="009874F3"/>
    <w:rsid w:val="00987643"/>
    <w:rsid w:val="00987686"/>
    <w:rsid w:val="009877B9"/>
    <w:rsid w:val="00987870"/>
    <w:rsid w:val="00987883"/>
    <w:rsid w:val="00987A4F"/>
    <w:rsid w:val="00987A97"/>
    <w:rsid w:val="00987D69"/>
    <w:rsid w:val="00987DE0"/>
    <w:rsid w:val="00987E76"/>
    <w:rsid w:val="00987F54"/>
    <w:rsid w:val="00987FCD"/>
    <w:rsid w:val="00990051"/>
    <w:rsid w:val="0099012E"/>
    <w:rsid w:val="0099018B"/>
    <w:rsid w:val="009904B9"/>
    <w:rsid w:val="009905F7"/>
    <w:rsid w:val="00990663"/>
    <w:rsid w:val="00990693"/>
    <w:rsid w:val="00990831"/>
    <w:rsid w:val="00990870"/>
    <w:rsid w:val="009908A7"/>
    <w:rsid w:val="009908B8"/>
    <w:rsid w:val="0099099B"/>
    <w:rsid w:val="009909E7"/>
    <w:rsid w:val="00990A4F"/>
    <w:rsid w:val="00990AFB"/>
    <w:rsid w:val="00990B62"/>
    <w:rsid w:val="00990D1C"/>
    <w:rsid w:val="00990D8E"/>
    <w:rsid w:val="00990DCF"/>
    <w:rsid w:val="00990EA5"/>
    <w:rsid w:val="00990EA7"/>
    <w:rsid w:val="0099102F"/>
    <w:rsid w:val="009912C6"/>
    <w:rsid w:val="00991331"/>
    <w:rsid w:val="0099182C"/>
    <w:rsid w:val="00991846"/>
    <w:rsid w:val="009919AD"/>
    <w:rsid w:val="00991ADE"/>
    <w:rsid w:val="00991D4E"/>
    <w:rsid w:val="00991D7D"/>
    <w:rsid w:val="00991E55"/>
    <w:rsid w:val="00991E5E"/>
    <w:rsid w:val="00991EB3"/>
    <w:rsid w:val="00991FEB"/>
    <w:rsid w:val="0099210A"/>
    <w:rsid w:val="0099214A"/>
    <w:rsid w:val="0099238D"/>
    <w:rsid w:val="00992581"/>
    <w:rsid w:val="00992649"/>
    <w:rsid w:val="00992965"/>
    <w:rsid w:val="00992A2F"/>
    <w:rsid w:val="00992B17"/>
    <w:rsid w:val="00992C53"/>
    <w:rsid w:val="00992D73"/>
    <w:rsid w:val="00992E62"/>
    <w:rsid w:val="00992EC9"/>
    <w:rsid w:val="00992FD2"/>
    <w:rsid w:val="009930A5"/>
    <w:rsid w:val="00993251"/>
    <w:rsid w:val="009935EE"/>
    <w:rsid w:val="00993601"/>
    <w:rsid w:val="00993879"/>
    <w:rsid w:val="0099389B"/>
    <w:rsid w:val="00993A2A"/>
    <w:rsid w:val="00993AA8"/>
    <w:rsid w:val="00993BED"/>
    <w:rsid w:val="00993C54"/>
    <w:rsid w:val="00993C88"/>
    <w:rsid w:val="00993D6C"/>
    <w:rsid w:val="00993DEF"/>
    <w:rsid w:val="0099410E"/>
    <w:rsid w:val="0099413D"/>
    <w:rsid w:val="00994143"/>
    <w:rsid w:val="009941C3"/>
    <w:rsid w:val="00994365"/>
    <w:rsid w:val="009943B7"/>
    <w:rsid w:val="009945BC"/>
    <w:rsid w:val="00994636"/>
    <w:rsid w:val="0099465D"/>
    <w:rsid w:val="00994716"/>
    <w:rsid w:val="00994919"/>
    <w:rsid w:val="00994C86"/>
    <w:rsid w:val="00994EA0"/>
    <w:rsid w:val="00994FE3"/>
    <w:rsid w:val="0099528E"/>
    <w:rsid w:val="00995344"/>
    <w:rsid w:val="00995357"/>
    <w:rsid w:val="00995472"/>
    <w:rsid w:val="009954CE"/>
    <w:rsid w:val="00995535"/>
    <w:rsid w:val="0099554B"/>
    <w:rsid w:val="009955FE"/>
    <w:rsid w:val="00995708"/>
    <w:rsid w:val="0099584B"/>
    <w:rsid w:val="009958BD"/>
    <w:rsid w:val="00995A28"/>
    <w:rsid w:val="00995A72"/>
    <w:rsid w:val="00995C2D"/>
    <w:rsid w:val="00995C84"/>
    <w:rsid w:val="00995D25"/>
    <w:rsid w:val="00995E51"/>
    <w:rsid w:val="00995FC1"/>
    <w:rsid w:val="009960A6"/>
    <w:rsid w:val="0099640B"/>
    <w:rsid w:val="0099652E"/>
    <w:rsid w:val="00996636"/>
    <w:rsid w:val="009966FD"/>
    <w:rsid w:val="00996776"/>
    <w:rsid w:val="00996887"/>
    <w:rsid w:val="009968E5"/>
    <w:rsid w:val="00996C12"/>
    <w:rsid w:val="00996D1F"/>
    <w:rsid w:val="00996F12"/>
    <w:rsid w:val="00996F1C"/>
    <w:rsid w:val="00997186"/>
    <w:rsid w:val="00997188"/>
    <w:rsid w:val="0099721C"/>
    <w:rsid w:val="00997251"/>
    <w:rsid w:val="009974A2"/>
    <w:rsid w:val="0099756B"/>
    <w:rsid w:val="00997950"/>
    <w:rsid w:val="00997ADE"/>
    <w:rsid w:val="00997B46"/>
    <w:rsid w:val="00997BAC"/>
    <w:rsid w:val="00997BFE"/>
    <w:rsid w:val="00997DC9"/>
    <w:rsid w:val="00997DE3"/>
    <w:rsid w:val="00997E1B"/>
    <w:rsid w:val="00997EC9"/>
    <w:rsid w:val="00997F32"/>
    <w:rsid w:val="009A011D"/>
    <w:rsid w:val="009A049C"/>
    <w:rsid w:val="009A054E"/>
    <w:rsid w:val="009A0628"/>
    <w:rsid w:val="009A064D"/>
    <w:rsid w:val="009A0657"/>
    <w:rsid w:val="009A0994"/>
    <w:rsid w:val="009A09D7"/>
    <w:rsid w:val="009A09F9"/>
    <w:rsid w:val="009A0B8B"/>
    <w:rsid w:val="009A0C85"/>
    <w:rsid w:val="009A0C86"/>
    <w:rsid w:val="009A0CA5"/>
    <w:rsid w:val="009A0D55"/>
    <w:rsid w:val="009A0E7F"/>
    <w:rsid w:val="009A0F05"/>
    <w:rsid w:val="009A0FAF"/>
    <w:rsid w:val="009A10E6"/>
    <w:rsid w:val="009A11DF"/>
    <w:rsid w:val="009A121C"/>
    <w:rsid w:val="009A1312"/>
    <w:rsid w:val="009A1376"/>
    <w:rsid w:val="009A1638"/>
    <w:rsid w:val="009A17E1"/>
    <w:rsid w:val="009A185F"/>
    <w:rsid w:val="009A1868"/>
    <w:rsid w:val="009A18BE"/>
    <w:rsid w:val="009A18E1"/>
    <w:rsid w:val="009A1911"/>
    <w:rsid w:val="009A192F"/>
    <w:rsid w:val="009A1A29"/>
    <w:rsid w:val="009A1A74"/>
    <w:rsid w:val="009A1B14"/>
    <w:rsid w:val="009A1BB1"/>
    <w:rsid w:val="009A1C0F"/>
    <w:rsid w:val="009A1E1F"/>
    <w:rsid w:val="009A1E6B"/>
    <w:rsid w:val="009A1E87"/>
    <w:rsid w:val="009A1FF9"/>
    <w:rsid w:val="009A20AB"/>
    <w:rsid w:val="009A214D"/>
    <w:rsid w:val="009A2499"/>
    <w:rsid w:val="009A26E9"/>
    <w:rsid w:val="009A26FE"/>
    <w:rsid w:val="009A28C9"/>
    <w:rsid w:val="009A2B03"/>
    <w:rsid w:val="009A2B22"/>
    <w:rsid w:val="009A2D5F"/>
    <w:rsid w:val="009A2D83"/>
    <w:rsid w:val="009A320A"/>
    <w:rsid w:val="009A330E"/>
    <w:rsid w:val="009A336B"/>
    <w:rsid w:val="009A3385"/>
    <w:rsid w:val="009A338B"/>
    <w:rsid w:val="009A3394"/>
    <w:rsid w:val="009A3409"/>
    <w:rsid w:val="009A346D"/>
    <w:rsid w:val="009A3819"/>
    <w:rsid w:val="009A3880"/>
    <w:rsid w:val="009A3948"/>
    <w:rsid w:val="009A3950"/>
    <w:rsid w:val="009A39E3"/>
    <w:rsid w:val="009A3AAC"/>
    <w:rsid w:val="009A3BEF"/>
    <w:rsid w:val="009A3D76"/>
    <w:rsid w:val="009A3EF5"/>
    <w:rsid w:val="009A3F3B"/>
    <w:rsid w:val="009A3F9F"/>
    <w:rsid w:val="009A3FCF"/>
    <w:rsid w:val="009A40D0"/>
    <w:rsid w:val="009A4291"/>
    <w:rsid w:val="009A4532"/>
    <w:rsid w:val="009A47C5"/>
    <w:rsid w:val="009A4B33"/>
    <w:rsid w:val="009A4C76"/>
    <w:rsid w:val="009A4F09"/>
    <w:rsid w:val="009A5088"/>
    <w:rsid w:val="009A53A3"/>
    <w:rsid w:val="009A5553"/>
    <w:rsid w:val="009A55A4"/>
    <w:rsid w:val="009A5903"/>
    <w:rsid w:val="009A59B5"/>
    <w:rsid w:val="009A59D2"/>
    <w:rsid w:val="009A5A09"/>
    <w:rsid w:val="009A5AC4"/>
    <w:rsid w:val="009A5AF8"/>
    <w:rsid w:val="009A5D2E"/>
    <w:rsid w:val="009A5E1F"/>
    <w:rsid w:val="009A5EE8"/>
    <w:rsid w:val="009A5F69"/>
    <w:rsid w:val="009A6088"/>
    <w:rsid w:val="009A60B8"/>
    <w:rsid w:val="009A60E1"/>
    <w:rsid w:val="009A611A"/>
    <w:rsid w:val="009A6127"/>
    <w:rsid w:val="009A61F2"/>
    <w:rsid w:val="009A621C"/>
    <w:rsid w:val="009A622F"/>
    <w:rsid w:val="009A6260"/>
    <w:rsid w:val="009A6291"/>
    <w:rsid w:val="009A649E"/>
    <w:rsid w:val="009A64FB"/>
    <w:rsid w:val="009A653B"/>
    <w:rsid w:val="009A6599"/>
    <w:rsid w:val="009A6751"/>
    <w:rsid w:val="009A6937"/>
    <w:rsid w:val="009A6A4E"/>
    <w:rsid w:val="009A6A64"/>
    <w:rsid w:val="009A6C8D"/>
    <w:rsid w:val="009A6D8E"/>
    <w:rsid w:val="009A6DC2"/>
    <w:rsid w:val="009A6EA0"/>
    <w:rsid w:val="009A6F0F"/>
    <w:rsid w:val="009A7161"/>
    <w:rsid w:val="009A71E5"/>
    <w:rsid w:val="009A72FB"/>
    <w:rsid w:val="009A7587"/>
    <w:rsid w:val="009A758C"/>
    <w:rsid w:val="009A788E"/>
    <w:rsid w:val="009A7AA5"/>
    <w:rsid w:val="009A7AB0"/>
    <w:rsid w:val="009A7C27"/>
    <w:rsid w:val="009A7DC6"/>
    <w:rsid w:val="009A7E68"/>
    <w:rsid w:val="009B0031"/>
    <w:rsid w:val="009B0306"/>
    <w:rsid w:val="009B066E"/>
    <w:rsid w:val="009B06B5"/>
    <w:rsid w:val="009B07F4"/>
    <w:rsid w:val="009B0894"/>
    <w:rsid w:val="009B097B"/>
    <w:rsid w:val="009B0A28"/>
    <w:rsid w:val="009B0B27"/>
    <w:rsid w:val="009B0D42"/>
    <w:rsid w:val="009B0DDF"/>
    <w:rsid w:val="009B0F54"/>
    <w:rsid w:val="009B0F7B"/>
    <w:rsid w:val="009B119B"/>
    <w:rsid w:val="009B13D8"/>
    <w:rsid w:val="009B13E9"/>
    <w:rsid w:val="009B140E"/>
    <w:rsid w:val="009B1432"/>
    <w:rsid w:val="009B14A2"/>
    <w:rsid w:val="009B1591"/>
    <w:rsid w:val="009B15D7"/>
    <w:rsid w:val="009B17E7"/>
    <w:rsid w:val="009B1816"/>
    <w:rsid w:val="009B192C"/>
    <w:rsid w:val="009B19B3"/>
    <w:rsid w:val="009B1A72"/>
    <w:rsid w:val="009B1A98"/>
    <w:rsid w:val="009B1AC2"/>
    <w:rsid w:val="009B1B39"/>
    <w:rsid w:val="009B1B73"/>
    <w:rsid w:val="009B1D28"/>
    <w:rsid w:val="009B1D36"/>
    <w:rsid w:val="009B1DA9"/>
    <w:rsid w:val="009B1EE4"/>
    <w:rsid w:val="009B1FC9"/>
    <w:rsid w:val="009B2023"/>
    <w:rsid w:val="009B2031"/>
    <w:rsid w:val="009B2195"/>
    <w:rsid w:val="009B2342"/>
    <w:rsid w:val="009B2348"/>
    <w:rsid w:val="009B2382"/>
    <w:rsid w:val="009B2525"/>
    <w:rsid w:val="009B25E3"/>
    <w:rsid w:val="009B2714"/>
    <w:rsid w:val="009B2772"/>
    <w:rsid w:val="009B2888"/>
    <w:rsid w:val="009B2923"/>
    <w:rsid w:val="009B2991"/>
    <w:rsid w:val="009B2AA6"/>
    <w:rsid w:val="009B2AB6"/>
    <w:rsid w:val="009B2B44"/>
    <w:rsid w:val="009B2CBB"/>
    <w:rsid w:val="009B2CE4"/>
    <w:rsid w:val="009B2D7D"/>
    <w:rsid w:val="009B2E3D"/>
    <w:rsid w:val="009B2E84"/>
    <w:rsid w:val="009B2F1C"/>
    <w:rsid w:val="009B31D6"/>
    <w:rsid w:val="009B3301"/>
    <w:rsid w:val="009B338D"/>
    <w:rsid w:val="009B33B2"/>
    <w:rsid w:val="009B33DE"/>
    <w:rsid w:val="009B33FA"/>
    <w:rsid w:val="009B367D"/>
    <w:rsid w:val="009B374B"/>
    <w:rsid w:val="009B37CB"/>
    <w:rsid w:val="009B37EB"/>
    <w:rsid w:val="009B3858"/>
    <w:rsid w:val="009B38EE"/>
    <w:rsid w:val="009B3CEF"/>
    <w:rsid w:val="009B3D3E"/>
    <w:rsid w:val="009B3D9C"/>
    <w:rsid w:val="009B3DB1"/>
    <w:rsid w:val="009B3E26"/>
    <w:rsid w:val="009B3E82"/>
    <w:rsid w:val="009B3F56"/>
    <w:rsid w:val="009B3FE3"/>
    <w:rsid w:val="009B4044"/>
    <w:rsid w:val="009B4288"/>
    <w:rsid w:val="009B47F8"/>
    <w:rsid w:val="009B48A2"/>
    <w:rsid w:val="009B4939"/>
    <w:rsid w:val="009B49E7"/>
    <w:rsid w:val="009B4A72"/>
    <w:rsid w:val="009B4BA7"/>
    <w:rsid w:val="009B4C9F"/>
    <w:rsid w:val="009B4D51"/>
    <w:rsid w:val="009B4D98"/>
    <w:rsid w:val="009B4EDF"/>
    <w:rsid w:val="009B4F11"/>
    <w:rsid w:val="009B4FBE"/>
    <w:rsid w:val="009B5283"/>
    <w:rsid w:val="009B5522"/>
    <w:rsid w:val="009B5533"/>
    <w:rsid w:val="009B55B0"/>
    <w:rsid w:val="009B561E"/>
    <w:rsid w:val="009B5638"/>
    <w:rsid w:val="009B56B5"/>
    <w:rsid w:val="009B596B"/>
    <w:rsid w:val="009B5978"/>
    <w:rsid w:val="009B5A07"/>
    <w:rsid w:val="009B5A3F"/>
    <w:rsid w:val="009B5B24"/>
    <w:rsid w:val="009B5B81"/>
    <w:rsid w:val="009B5B90"/>
    <w:rsid w:val="009B5C9F"/>
    <w:rsid w:val="009B5E07"/>
    <w:rsid w:val="009B5E0F"/>
    <w:rsid w:val="009B5E47"/>
    <w:rsid w:val="009B5ECB"/>
    <w:rsid w:val="009B6079"/>
    <w:rsid w:val="009B61A6"/>
    <w:rsid w:val="009B6426"/>
    <w:rsid w:val="009B65E2"/>
    <w:rsid w:val="009B68F5"/>
    <w:rsid w:val="009B69B5"/>
    <w:rsid w:val="009B6A19"/>
    <w:rsid w:val="009B6C71"/>
    <w:rsid w:val="009B6CBF"/>
    <w:rsid w:val="009B6E50"/>
    <w:rsid w:val="009B6EE1"/>
    <w:rsid w:val="009B701C"/>
    <w:rsid w:val="009B713D"/>
    <w:rsid w:val="009B75F6"/>
    <w:rsid w:val="009B765B"/>
    <w:rsid w:val="009B7729"/>
    <w:rsid w:val="009B7842"/>
    <w:rsid w:val="009B7AD5"/>
    <w:rsid w:val="009B7BE2"/>
    <w:rsid w:val="009B7C38"/>
    <w:rsid w:val="009B7EA6"/>
    <w:rsid w:val="009BC60D"/>
    <w:rsid w:val="009C01C0"/>
    <w:rsid w:val="009C01DC"/>
    <w:rsid w:val="009C0273"/>
    <w:rsid w:val="009C02BF"/>
    <w:rsid w:val="009C0343"/>
    <w:rsid w:val="009C0378"/>
    <w:rsid w:val="009C0633"/>
    <w:rsid w:val="009C0814"/>
    <w:rsid w:val="009C0894"/>
    <w:rsid w:val="009C0AB6"/>
    <w:rsid w:val="009C0B6D"/>
    <w:rsid w:val="009C0C79"/>
    <w:rsid w:val="009C0D0E"/>
    <w:rsid w:val="009C0D13"/>
    <w:rsid w:val="009C0EF5"/>
    <w:rsid w:val="009C110B"/>
    <w:rsid w:val="009C11AC"/>
    <w:rsid w:val="009C125D"/>
    <w:rsid w:val="009C12B2"/>
    <w:rsid w:val="009C12E4"/>
    <w:rsid w:val="009C1318"/>
    <w:rsid w:val="009C13A1"/>
    <w:rsid w:val="009C13CB"/>
    <w:rsid w:val="009C147B"/>
    <w:rsid w:val="009C15F8"/>
    <w:rsid w:val="009C16B1"/>
    <w:rsid w:val="009C16B6"/>
    <w:rsid w:val="009C16C6"/>
    <w:rsid w:val="009C19DB"/>
    <w:rsid w:val="009C1AE9"/>
    <w:rsid w:val="009C1B82"/>
    <w:rsid w:val="009C1BC2"/>
    <w:rsid w:val="009C1BC8"/>
    <w:rsid w:val="009C1E19"/>
    <w:rsid w:val="009C2135"/>
    <w:rsid w:val="009C2462"/>
    <w:rsid w:val="009C24A0"/>
    <w:rsid w:val="009C2528"/>
    <w:rsid w:val="009C2742"/>
    <w:rsid w:val="009C27D0"/>
    <w:rsid w:val="009C2825"/>
    <w:rsid w:val="009C299E"/>
    <w:rsid w:val="009C29C4"/>
    <w:rsid w:val="009C29ED"/>
    <w:rsid w:val="009C2A9D"/>
    <w:rsid w:val="009C2B42"/>
    <w:rsid w:val="009C2BDA"/>
    <w:rsid w:val="009C2C89"/>
    <w:rsid w:val="009C2F65"/>
    <w:rsid w:val="009C3049"/>
    <w:rsid w:val="009C304B"/>
    <w:rsid w:val="009C3260"/>
    <w:rsid w:val="009C34D6"/>
    <w:rsid w:val="009C34F2"/>
    <w:rsid w:val="009C3516"/>
    <w:rsid w:val="009C3607"/>
    <w:rsid w:val="009C3646"/>
    <w:rsid w:val="009C379B"/>
    <w:rsid w:val="009C3942"/>
    <w:rsid w:val="009C397E"/>
    <w:rsid w:val="009C3AB7"/>
    <w:rsid w:val="009C3C4A"/>
    <w:rsid w:val="009C3C85"/>
    <w:rsid w:val="009C3D20"/>
    <w:rsid w:val="009C3E7B"/>
    <w:rsid w:val="009C4047"/>
    <w:rsid w:val="009C420C"/>
    <w:rsid w:val="009C4430"/>
    <w:rsid w:val="009C4470"/>
    <w:rsid w:val="009C4865"/>
    <w:rsid w:val="009C486C"/>
    <w:rsid w:val="009C48A6"/>
    <w:rsid w:val="009C48C4"/>
    <w:rsid w:val="009C4AC9"/>
    <w:rsid w:val="009C4C71"/>
    <w:rsid w:val="009C4F87"/>
    <w:rsid w:val="009C5131"/>
    <w:rsid w:val="009C52F2"/>
    <w:rsid w:val="009C57AD"/>
    <w:rsid w:val="009C5893"/>
    <w:rsid w:val="009C58CE"/>
    <w:rsid w:val="009C59B0"/>
    <w:rsid w:val="009C5B3A"/>
    <w:rsid w:val="009C5C6A"/>
    <w:rsid w:val="009C60CA"/>
    <w:rsid w:val="009C61E9"/>
    <w:rsid w:val="009C62B5"/>
    <w:rsid w:val="009C6464"/>
    <w:rsid w:val="009C6466"/>
    <w:rsid w:val="009C65B7"/>
    <w:rsid w:val="009C65EF"/>
    <w:rsid w:val="009C6687"/>
    <w:rsid w:val="009C66ED"/>
    <w:rsid w:val="009C6986"/>
    <w:rsid w:val="009C69AF"/>
    <w:rsid w:val="009C6A1F"/>
    <w:rsid w:val="009C6A26"/>
    <w:rsid w:val="009C6B9A"/>
    <w:rsid w:val="009C6D29"/>
    <w:rsid w:val="009C6D70"/>
    <w:rsid w:val="009C6EA0"/>
    <w:rsid w:val="009C6F2E"/>
    <w:rsid w:val="009C6F77"/>
    <w:rsid w:val="009C6F82"/>
    <w:rsid w:val="009C703B"/>
    <w:rsid w:val="009C7194"/>
    <w:rsid w:val="009C71A4"/>
    <w:rsid w:val="009C74DB"/>
    <w:rsid w:val="009C76F3"/>
    <w:rsid w:val="009C77CA"/>
    <w:rsid w:val="009C7965"/>
    <w:rsid w:val="009C7C0E"/>
    <w:rsid w:val="009C7C5B"/>
    <w:rsid w:val="009C7DC6"/>
    <w:rsid w:val="009C7F36"/>
    <w:rsid w:val="009CE708"/>
    <w:rsid w:val="009D01BC"/>
    <w:rsid w:val="009D027D"/>
    <w:rsid w:val="009D050E"/>
    <w:rsid w:val="009D056B"/>
    <w:rsid w:val="009D0726"/>
    <w:rsid w:val="009D0731"/>
    <w:rsid w:val="009D0A00"/>
    <w:rsid w:val="009D0B02"/>
    <w:rsid w:val="009D0DAC"/>
    <w:rsid w:val="009D0FE4"/>
    <w:rsid w:val="009D100B"/>
    <w:rsid w:val="009D1020"/>
    <w:rsid w:val="009D112E"/>
    <w:rsid w:val="009D1230"/>
    <w:rsid w:val="009D1297"/>
    <w:rsid w:val="009D12CE"/>
    <w:rsid w:val="009D142D"/>
    <w:rsid w:val="009D150D"/>
    <w:rsid w:val="009D1592"/>
    <w:rsid w:val="009D1664"/>
    <w:rsid w:val="009D16B6"/>
    <w:rsid w:val="009D16F3"/>
    <w:rsid w:val="009D1955"/>
    <w:rsid w:val="009D1BBD"/>
    <w:rsid w:val="009D1BD1"/>
    <w:rsid w:val="009D1D1B"/>
    <w:rsid w:val="009D1E08"/>
    <w:rsid w:val="009D1FA3"/>
    <w:rsid w:val="009D2117"/>
    <w:rsid w:val="009D215F"/>
    <w:rsid w:val="009D2333"/>
    <w:rsid w:val="009D24A8"/>
    <w:rsid w:val="009D272E"/>
    <w:rsid w:val="009D27BD"/>
    <w:rsid w:val="009D2883"/>
    <w:rsid w:val="009D2ADB"/>
    <w:rsid w:val="009D2C08"/>
    <w:rsid w:val="009D2D99"/>
    <w:rsid w:val="009D2E3A"/>
    <w:rsid w:val="009D2EDE"/>
    <w:rsid w:val="009D2FFC"/>
    <w:rsid w:val="009D31A6"/>
    <w:rsid w:val="009D3284"/>
    <w:rsid w:val="009D33F1"/>
    <w:rsid w:val="009D33FC"/>
    <w:rsid w:val="009D3407"/>
    <w:rsid w:val="009D35A1"/>
    <w:rsid w:val="009D3614"/>
    <w:rsid w:val="009D3626"/>
    <w:rsid w:val="009D3633"/>
    <w:rsid w:val="009D3686"/>
    <w:rsid w:val="009D36A4"/>
    <w:rsid w:val="009D37F4"/>
    <w:rsid w:val="009D3885"/>
    <w:rsid w:val="009D38A7"/>
    <w:rsid w:val="009D39D1"/>
    <w:rsid w:val="009D3A22"/>
    <w:rsid w:val="009D3A75"/>
    <w:rsid w:val="009D3B47"/>
    <w:rsid w:val="009D3D2D"/>
    <w:rsid w:val="009D3D5F"/>
    <w:rsid w:val="009D3F77"/>
    <w:rsid w:val="009D3F9B"/>
    <w:rsid w:val="009D3FC7"/>
    <w:rsid w:val="009D4056"/>
    <w:rsid w:val="009D441B"/>
    <w:rsid w:val="009D47CE"/>
    <w:rsid w:val="009D4A03"/>
    <w:rsid w:val="009D4AE1"/>
    <w:rsid w:val="009D4B4B"/>
    <w:rsid w:val="009D4C6A"/>
    <w:rsid w:val="009D4CB1"/>
    <w:rsid w:val="009D4D35"/>
    <w:rsid w:val="009D4E1B"/>
    <w:rsid w:val="009D4F06"/>
    <w:rsid w:val="009D4F43"/>
    <w:rsid w:val="009D53EF"/>
    <w:rsid w:val="009D54FD"/>
    <w:rsid w:val="009D554F"/>
    <w:rsid w:val="009D55A5"/>
    <w:rsid w:val="009D5688"/>
    <w:rsid w:val="009D56B6"/>
    <w:rsid w:val="009D577C"/>
    <w:rsid w:val="009D5B23"/>
    <w:rsid w:val="009D5B33"/>
    <w:rsid w:val="009D5BCB"/>
    <w:rsid w:val="009D5DF4"/>
    <w:rsid w:val="009D5E53"/>
    <w:rsid w:val="009D5F23"/>
    <w:rsid w:val="009D61A0"/>
    <w:rsid w:val="009D61FF"/>
    <w:rsid w:val="009D63F0"/>
    <w:rsid w:val="009D642C"/>
    <w:rsid w:val="009D64C8"/>
    <w:rsid w:val="009D6979"/>
    <w:rsid w:val="009D6A61"/>
    <w:rsid w:val="009D6BE1"/>
    <w:rsid w:val="009D6F53"/>
    <w:rsid w:val="009D716F"/>
    <w:rsid w:val="009D7192"/>
    <w:rsid w:val="009D725E"/>
    <w:rsid w:val="009D73A3"/>
    <w:rsid w:val="009D749A"/>
    <w:rsid w:val="009D74A8"/>
    <w:rsid w:val="009D758C"/>
    <w:rsid w:val="009D771C"/>
    <w:rsid w:val="009D78C4"/>
    <w:rsid w:val="009D79C6"/>
    <w:rsid w:val="009D7C03"/>
    <w:rsid w:val="009D7CAB"/>
    <w:rsid w:val="009D7D34"/>
    <w:rsid w:val="009D7D79"/>
    <w:rsid w:val="009D7FD1"/>
    <w:rsid w:val="009E007B"/>
    <w:rsid w:val="009E009C"/>
    <w:rsid w:val="009E0160"/>
    <w:rsid w:val="009E01AC"/>
    <w:rsid w:val="009E02AA"/>
    <w:rsid w:val="009E0447"/>
    <w:rsid w:val="009E04A5"/>
    <w:rsid w:val="009E0529"/>
    <w:rsid w:val="009E0590"/>
    <w:rsid w:val="009E065E"/>
    <w:rsid w:val="009E06F9"/>
    <w:rsid w:val="009E082C"/>
    <w:rsid w:val="009E0A1C"/>
    <w:rsid w:val="009E0ADC"/>
    <w:rsid w:val="009E0AFA"/>
    <w:rsid w:val="009E0B41"/>
    <w:rsid w:val="009E0C3F"/>
    <w:rsid w:val="009E0F44"/>
    <w:rsid w:val="009E106C"/>
    <w:rsid w:val="009E1082"/>
    <w:rsid w:val="009E10BE"/>
    <w:rsid w:val="009E10EF"/>
    <w:rsid w:val="009E1171"/>
    <w:rsid w:val="009E144D"/>
    <w:rsid w:val="009E1489"/>
    <w:rsid w:val="009E15AF"/>
    <w:rsid w:val="009E1639"/>
    <w:rsid w:val="009E1705"/>
    <w:rsid w:val="009E19D4"/>
    <w:rsid w:val="009E1B70"/>
    <w:rsid w:val="009E1B7D"/>
    <w:rsid w:val="009E1CF2"/>
    <w:rsid w:val="009E1E97"/>
    <w:rsid w:val="009E1F5E"/>
    <w:rsid w:val="009E1F67"/>
    <w:rsid w:val="009E1F9B"/>
    <w:rsid w:val="009E2168"/>
    <w:rsid w:val="009E21BA"/>
    <w:rsid w:val="009E23B4"/>
    <w:rsid w:val="009E246F"/>
    <w:rsid w:val="009E24CD"/>
    <w:rsid w:val="009E251F"/>
    <w:rsid w:val="009E255B"/>
    <w:rsid w:val="009E2562"/>
    <w:rsid w:val="009E28C8"/>
    <w:rsid w:val="009E2A22"/>
    <w:rsid w:val="009E2AAE"/>
    <w:rsid w:val="009E2AE7"/>
    <w:rsid w:val="009E2AF0"/>
    <w:rsid w:val="009E2D3C"/>
    <w:rsid w:val="009E2FA8"/>
    <w:rsid w:val="009E3138"/>
    <w:rsid w:val="009E32C2"/>
    <w:rsid w:val="009E337F"/>
    <w:rsid w:val="009E3411"/>
    <w:rsid w:val="009E3426"/>
    <w:rsid w:val="009E3805"/>
    <w:rsid w:val="009E3822"/>
    <w:rsid w:val="009E384B"/>
    <w:rsid w:val="009E3BD5"/>
    <w:rsid w:val="009E3C37"/>
    <w:rsid w:val="009E3C6A"/>
    <w:rsid w:val="009E3D4D"/>
    <w:rsid w:val="009E3D96"/>
    <w:rsid w:val="009E3DB5"/>
    <w:rsid w:val="009E3F34"/>
    <w:rsid w:val="009E3FFE"/>
    <w:rsid w:val="009E400D"/>
    <w:rsid w:val="009E41F9"/>
    <w:rsid w:val="009E4239"/>
    <w:rsid w:val="009E4240"/>
    <w:rsid w:val="009E42A7"/>
    <w:rsid w:val="009E45E3"/>
    <w:rsid w:val="009E467C"/>
    <w:rsid w:val="009E4684"/>
    <w:rsid w:val="009E4723"/>
    <w:rsid w:val="009E4944"/>
    <w:rsid w:val="009E494E"/>
    <w:rsid w:val="009E4972"/>
    <w:rsid w:val="009E4A2B"/>
    <w:rsid w:val="009E4BCC"/>
    <w:rsid w:val="009E4BF0"/>
    <w:rsid w:val="009E4D77"/>
    <w:rsid w:val="009E4E6E"/>
    <w:rsid w:val="009E52D3"/>
    <w:rsid w:val="009E54B5"/>
    <w:rsid w:val="009E54D1"/>
    <w:rsid w:val="009E5753"/>
    <w:rsid w:val="009E586C"/>
    <w:rsid w:val="009E5889"/>
    <w:rsid w:val="009E59FC"/>
    <w:rsid w:val="009E5B3A"/>
    <w:rsid w:val="009E5B4B"/>
    <w:rsid w:val="009E5EFF"/>
    <w:rsid w:val="009E6106"/>
    <w:rsid w:val="009E6191"/>
    <w:rsid w:val="009E61AC"/>
    <w:rsid w:val="009E6225"/>
    <w:rsid w:val="009E6515"/>
    <w:rsid w:val="009E67CE"/>
    <w:rsid w:val="009E6872"/>
    <w:rsid w:val="009E687D"/>
    <w:rsid w:val="009E68D7"/>
    <w:rsid w:val="009E69E9"/>
    <w:rsid w:val="009E6A81"/>
    <w:rsid w:val="009E6AC4"/>
    <w:rsid w:val="009E6C1E"/>
    <w:rsid w:val="009E6F01"/>
    <w:rsid w:val="009E6F8A"/>
    <w:rsid w:val="009E6F98"/>
    <w:rsid w:val="009E737C"/>
    <w:rsid w:val="009E75DE"/>
    <w:rsid w:val="009E79B7"/>
    <w:rsid w:val="009E7B1E"/>
    <w:rsid w:val="009E7C7A"/>
    <w:rsid w:val="009E7E5E"/>
    <w:rsid w:val="009F01EF"/>
    <w:rsid w:val="009F02F9"/>
    <w:rsid w:val="009F0309"/>
    <w:rsid w:val="009F0562"/>
    <w:rsid w:val="009F06E4"/>
    <w:rsid w:val="009F076A"/>
    <w:rsid w:val="009F07F6"/>
    <w:rsid w:val="009F0816"/>
    <w:rsid w:val="009F0917"/>
    <w:rsid w:val="009F0B19"/>
    <w:rsid w:val="009F0BB5"/>
    <w:rsid w:val="009F0D6F"/>
    <w:rsid w:val="009F0E80"/>
    <w:rsid w:val="009F0EAD"/>
    <w:rsid w:val="009F0EE0"/>
    <w:rsid w:val="009F107F"/>
    <w:rsid w:val="009F1133"/>
    <w:rsid w:val="009F1180"/>
    <w:rsid w:val="009F11B7"/>
    <w:rsid w:val="009F154D"/>
    <w:rsid w:val="009F15DF"/>
    <w:rsid w:val="009F1654"/>
    <w:rsid w:val="009F176F"/>
    <w:rsid w:val="009F19FD"/>
    <w:rsid w:val="009F1B10"/>
    <w:rsid w:val="009F1B97"/>
    <w:rsid w:val="009F1C30"/>
    <w:rsid w:val="009F1D27"/>
    <w:rsid w:val="009F1D2B"/>
    <w:rsid w:val="009F1DC2"/>
    <w:rsid w:val="009F1DFC"/>
    <w:rsid w:val="009F2053"/>
    <w:rsid w:val="009F2083"/>
    <w:rsid w:val="009F2338"/>
    <w:rsid w:val="009F24E2"/>
    <w:rsid w:val="009F24EB"/>
    <w:rsid w:val="009F2502"/>
    <w:rsid w:val="009F250A"/>
    <w:rsid w:val="009F2613"/>
    <w:rsid w:val="009F2672"/>
    <w:rsid w:val="009F267D"/>
    <w:rsid w:val="009F26B0"/>
    <w:rsid w:val="009F2813"/>
    <w:rsid w:val="009F29AA"/>
    <w:rsid w:val="009F2A3F"/>
    <w:rsid w:val="009F2B84"/>
    <w:rsid w:val="009F2C27"/>
    <w:rsid w:val="009F2E22"/>
    <w:rsid w:val="009F3000"/>
    <w:rsid w:val="009F3142"/>
    <w:rsid w:val="009F3273"/>
    <w:rsid w:val="009F333C"/>
    <w:rsid w:val="009F34DB"/>
    <w:rsid w:val="009F380A"/>
    <w:rsid w:val="009F3CAF"/>
    <w:rsid w:val="009F3EDA"/>
    <w:rsid w:val="009F404B"/>
    <w:rsid w:val="009F417E"/>
    <w:rsid w:val="009F41DD"/>
    <w:rsid w:val="009F44AA"/>
    <w:rsid w:val="009F4516"/>
    <w:rsid w:val="009F4623"/>
    <w:rsid w:val="009F4630"/>
    <w:rsid w:val="009F46FB"/>
    <w:rsid w:val="009F47A7"/>
    <w:rsid w:val="009F47EF"/>
    <w:rsid w:val="009F4B0A"/>
    <w:rsid w:val="009F4BBB"/>
    <w:rsid w:val="009F4C2F"/>
    <w:rsid w:val="009F4EAC"/>
    <w:rsid w:val="009F5098"/>
    <w:rsid w:val="009F515D"/>
    <w:rsid w:val="009F51E5"/>
    <w:rsid w:val="009F5282"/>
    <w:rsid w:val="009F52E1"/>
    <w:rsid w:val="009F5305"/>
    <w:rsid w:val="009F5598"/>
    <w:rsid w:val="009F562A"/>
    <w:rsid w:val="009F5AE8"/>
    <w:rsid w:val="009F5E3F"/>
    <w:rsid w:val="009F5EBD"/>
    <w:rsid w:val="009F5ED0"/>
    <w:rsid w:val="009F6089"/>
    <w:rsid w:val="009F6156"/>
    <w:rsid w:val="009F61D2"/>
    <w:rsid w:val="009F61E2"/>
    <w:rsid w:val="009F61E9"/>
    <w:rsid w:val="009F6444"/>
    <w:rsid w:val="009F669C"/>
    <w:rsid w:val="009F6717"/>
    <w:rsid w:val="009F67BE"/>
    <w:rsid w:val="009F67FF"/>
    <w:rsid w:val="009F6A36"/>
    <w:rsid w:val="009F6A79"/>
    <w:rsid w:val="009F6AB8"/>
    <w:rsid w:val="009F6BCA"/>
    <w:rsid w:val="009F6CDF"/>
    <w:rsid w:val="009F6CED"/>
    <w:rsid w:val="009F6CF3"/>
    <w:rsid w:val="009F6F56"/>
    <w:rsid w:val="009F7115"/>
    <w:rsid w:val="009F7186"/>
    <w:rsid w:val="009F73B6"/>
    <w:rsid w:val="009F73D7"/>
    <w:rsid w:val="009F7494"/>
    <w:rsid w:val="009F75C4"/>
    <w:rsid w:val="009F761F"/>
    <w:rsid w:val="009F7674"/>
    <w:rsid w:val="009F77B6"/>
    <w:rsid w:val="009F7879"/>
    <w:rsid w:val="009F795E"/>
    <w:rsid w:val="009F7AF9"/>
    <w:rsid w:val="009F7C9D"/>
    <w:rsid w:val="009F7D28"/>
    <w:rsid w:val="009F7E1F"/>
    <w:rsid w:val="009F7E38"/>
    <w:rsid w:val="009F7FC8"/>
    <w:rsid w:val="00A0009A"/>
    <w:rsid w:val="00A00149"/>
    <w:rsid w:val="00A0015A"/>
    <w:rsid w:val="00A0033F"/>
    <w:rsid w:val="00A00485"/>
    <w:rsid w:val="00A004A1"/>
    <w:rsid w:val="00A0059F"/>
    <w:rsid w:val="00A006E2"/>
    <w:rsid w:val="00A007FB"/>
    <w:rsid w:val="00A00A56"/>
    <w:rsid w:val="00A00B12"/>
    <w:rsid w:val="00A00B7E"/>
    <w:rsid w:val="00A00C75"/>
    <w:rsid w:val="00A00D33"/>
    <w:rsid w:val="00A00E64"/>
    <w:rsid w:val="00A00EF5"/>
    <w:rsid w:val="00A01093"/>
    <w:rsid w:val="00A01288"/>
    <w:rsid w:val="00A012A5"/>
    <w:rsid w:val="00A012E3"/>
    <w:rsid w:val="00A012EB"/>
    <w:rsid w:val="00A01448"/>
    <w:rsid w:val="00A0181F"/>
    <w:rsid w:val="00A01823"/>
    <w:rsid w:val="00A0189A"/>
    <w:rsid w:val="00A01941"/>
    <w:rsid w:val="00A01B0D"/>
    <w:rsid w:val="00A01C5A"/>
    <w:rsid w:val="00A01D51"/>
    <w:rsid w:val="00A01DD4"/>
    <w:rsid w:val="00A01E3D"/>
    <w:rsid w:val="00A02495"/>
    <w:rsid w:val="00A026D9"/>
    <w:rsid w:val="00A028AD"/>
    <w:rsid w:val="00A02953"/>
    <w:rsid w:val="00A02A0C"/>
    <w:rsid w:val="00A02A39"/>
    <w:rsid w:val="00A02AA1"/>
    <w:rsid w:val="00A02BAF"/>
    <w:rsid w:val="00A02BBE"/>
    <w:rsid w:val="00A0300F"/>
    <w:rsid w:val="00A0302F"/>
    <w:rsid w:val="00A0309E"/>
    <w:rsid w:val="00A030E4"/>
    <w:rsid w:val="00A03174"/>
    <w:rsid w:val="00A031ED"/>
    <w:rsid w:val="00A03233"/>
    <w:rsid w:val="00A03286"/>
    <w:rsid w:val="00A033A4"/>
    <w:rsid w:val="00A03428"/>
    <w:rsid w:val="00A034AD"/>
    <w:rsid w:val="00A0359C"/>
    <w:rsid w:val="00A0371A"/>
    <w:rsid w:val="00A039F3"/>
    <w:rsid w:val="00A03C81"/>
    <w:rsid w:val="00A03E24"/>
    <w:rsid w:val="00A03E56"/>
    <w:rsid w:val="00A040CF"/>
    <w:rsid w:val="00A041DD"/>
    <w:rsid w:val="00A04484"/>
    <w:rsid w:val="00A04510"/>
    <w:rsid w:val="00A045BA"/>
    <w:rsid w:val="00A04623"/>
    <w:rsid w:val="00A046E1"/>
    <w:rsid w:val="00A04A93"/>
    <w:rsid w:val="00A04B3B"/>
    <w:rsid w:val="00A04B91"/>
    <w:rsid w:val="00A04BB4"/>
    <w:rsid w:val="00A04BFD"/>
    <w:rsid w:val="00A04C2D"/>
    <w:rsid w:val="00A04E24"/>
    <w:rsid w:val="00A04E6B"/>
    <w:rsid w:val="00A04F4A"/>
    <w:rsid w:val="00A04F59"/>
    <w:rsid w:val="00A050BB"/>
    <w:rsid w:val="00A0518D"/>
    <w:rsid w:val="00A05235"/>
    <w:rsid w:val="00A053AF"/>
    <w:rsid w:val="00A0580A"/>
    <w:rsid w:val="00A0587A"/>
    <w:rsid w:val="00A05893"/>
    <w:rsid w:val="00A058C4"/>
    <w:rsid w:val="00A05907"/>
    <w:rsid w:val="00A059E2"/>
    <w:rsid w:val="00A05C65"/>
    <w:rsid w:val="00A05D2C"/>
    <w:rsid w:val="00A05D6D"/>
    <w:rsid w:val="00A05E13"/>
    <w:rsid w:val="00A060C9"/>
    <w:rsid w:val="00A06116"/>
    <w:rsid w:val="00A06133"/>
    <w:rsid w:val="00A06172"/>
    <w:rsid w:val="00A0623D"/>
    <w:rsid w:val="00A06267"/>
    <w:rsid w:val="00A0628A"/>
    <w:rsid w:val="00A06379"/>
    <w:rsid w:val="00A06630"/>
    <w:rsid w:val="00A0686F"/>
    <w:rsid w:val="00A068A3"/>
    <w:rsid w:val="00A069A0"/>
    <w:rsid w:val="00A06A0B"/>
    <w:rsid w:val="00A06ABD"/>
    <w:rsid w:val="00A06B05"/>
    <w:rsid w:val="00A06EE0"/>
    <w:rsid w:val="00A07208"/>
    <w:rsid w:val="00A073C1"/>
    <w:rsid w:val="00A073CF"/>
    <w:rsid w:val="00A0749A"/>
    <w:rsid w:val="00A07631"/>
    <w:rsid w:val="00A076EB"/>
    <w:rsid w:val="00A07753"/>
    <w:rsid w:val="00A07768"/>
    <w:rsid w:val="00A07947"/>
    <w:rsid w:val="00A07F04"/>
    <w:rsid w:val="00A07F2C"/>
    <w:rsid w:val="00A10238"/>
    <w:rsid w:val="00A10272"/>
    <w:rsid w:val="00A102A8"/>
    <w:rsid w:val="00A10518"/>
    <w:rsid w:val="00A1051E"/>
    <w:rsid w:val="00A105B7"/>
    <w:rsid w:val="00A105BD"/>
    <w:rsid w:val="00A10655"/>
    <w:rsid w:val="00A10725"/>
    <w:rsid w:val="00A1074D"/>
    <w:rsid w:val="00A10891"/>
    <w:rsid w:val="00A108E0"/>
    <w:rsid w:val="00A109B5"/>
    <w:rsid w:val="00A109B8"/>
    <w:rsid w:val="00A10A11"/>
    <w:rsid w:val="00A10A49"/>
    <w:rsid w:val="00A10B3A"/>
    <w:rsid w:val="00A10BCD"/>
    <w:rsid w:val="00A10CFD"/>
    <w:rsid w:val="00A10D94"/>
    <w:rsid w:val="00A11020"/>
    <w:rsid w:val="00A11192"/>
    <w:rsid w:val="00A1130C"/>
    <w:rsid w:val="00A11516"/>
    <w:rsid w:val="00A11589"/>
    <w:rsid w:val="00A117D4"/>
    <w:rsid w:val="00A11839"/>
    <w:rsid w:val="00A11A8A"/>
    <w:rsid w:val="00A11CF7"/>
    <w:rsid w:val="00A11E0E"/>
    <w:rsid w:val="00A11F68"/>
    <w:rsid w:val="00A11FB6"/>
    <w:rsid w:val="00A1200F"/>
    <w:rsid w:val="00A121CB"/>
    <w:rsid w:val="00A1237A"/>
    <w:rsid w:val="00A12403"/>
    <w:rsid w:val="00A12537"/>
    <w:rsid w:val="00A12590"/>
    <w:rsid w:val="00A125CE"/>
    <w:rsid w:val="00A126E4"/>
    <w:rsid w:val="00A12831"/>
    <w:rsid w:val="00A1284D"/>
    <w:rsid w:val="00A12BEF"/>
    <w:rsid w:val="00A12C49"/>
    <w:rsid w:val="00A12D92"/>
    <w:rsid w:val="00A12EC1"/>
    <w:rsid w:val="00A13066"/>
    <w:rsid w:val="00A1328E"/>
    <w:rsid w:val="00A132A9"/>
    <w:rsid w:val="00A13379"/>
    <w:rsid w:val="00A13540"/>
    <w:rsid w:val="00A1355F"/>
    <w:rsid w:val="00A13852"/>
    <w:rsid w:val="00A1389A"/>
    <w:rsid w:val="00A13914"/>
    <w:rsid w:val="00A13BCB"/>
    <w:rsid w:val="00A13C17"/>
    <w:rsid w:val="00A13C47"/>
    <w:rsid w:val="00A13CA3"/>
    <w:rsid w:val="00A13CCC"/>
    <w:rsid w:val="00A13F35"/>
    <w:rsid w:val="00A141A6"/>
    <w:rsid w:val="00A141AC"/>
    <w:rsid w:val="00A1422E"/>
    <w:rsid w:val="00A14488"/>
    <w:rsid w:val="00A14637"/>
    <w:rsid w:val="00A146A7"/>
    <w:rsid w:val="00A14A19"/>
    <w:rsid w:val="00A14E30"/>
    <w:rsid w:val="00A14EA9"/>
    <w:rsid w:val="00A14F4B"/>
    <w:rsid w:val="00A14FE0"/>
    <w:rsid w:val="00A15076"/>
    <w:rsid w:val="00A15101"/>
    <w:rsid w:val="00A151E9"/>
    <w:rsid w:val="00A152E7"/>
    <w:rsid w:val="00A15446"/>
    <w:rsid w:val="00A15603"/>
    <w:rsid w:val="00A15688"/>
    <w:rsid w:val="00A1568A"/>
    <w:rsid w:val="00A157C0"/>
    <w:rsid w:val="00A158E6"/>
    <w:rsid w:val="00A159BD"/>
    <w:rsid w:val="00A15B08"/>
    <w:rsid w:val="00A15B23"/>
    <w:rsid w:val="00A15D7B"/>
    <w:rsid w:val="00A16174"/>
    <w:rsid w:val="00A161FA"/>
    <w:rsid w:val="00A164D0"/>
    <w:rsid w:val="00A1654E"/>
    <w:rsid w:val="00A1658D"/>
    <w:rsid w:val="00A16597"/>
    <w:rsid w:val="00A166CB"/>
    <w:rsid w:val="00A167F2"/>
    <w:rsid w:val="00A168C3"/>
    <w:rsid w:val="00A168C4"/>
    <w:rsid w:val="00A169E6"/>
    <w:rsid w:val="00A16AA7"/>
    <w:rsid w:val="00A16AE2"/>
    <w:rsid w:val="00A16CC6"/>
    <w:rsid w:val="00A16D1F"/>
    <w:rsid w:val="00A16EDA"/>
    <w:rsid w:val="00A16EF9"/>
    <w:rsid w:val="00A16FA4"/>
    <w:rsid w:val="00A171F0"/>
    <w:rsid w:val="00A1732C"/>
    <w:rsid w:val="00A174D6"/>
    <w:rsid w:val="00A1786E"/>
    <w:rsid w:val="00A17941"/>
    <w:rsid w:val="00A1799E"/>
    <w:rsid w:val="00A17A42"/>
    <w:rsid w:val="00A17AD7"/>
    <w:rsid w:val="00A17B52"/>
    <w:rsid w:val="00A17B94"/>
    <w:rsid w:val="00A17C16"/>
    <w:rsid w:val="00A17F0F"/>
    <w:rsid w:val="00A201B4"/>
    <w:rsid w:val="00A202E9"/>
    <w:rsid w:val="00A203CB"/>
    <w:rsid w:val="00A204E2"/>
    <w:rsid w:val="00A20637"/>
    <w:rsid w:val="00A2098B"/>
    <w:rsid w:val="00A20994"/>
    <w:rsid w:val="00A209F4"/>
    <w:rsid w:val="00A20A0A"/>
    <w:rsid w:val="00A20B1C"/>
    <w:rsid w:val="00A20BBE"/>
    <w:rsid w:val="00A20BFC"/>
    <w:rsid w:val="00A212A9"/>
    <w:rsid w:val="00A21757"/>
    <w:rsid w:val="00A21778"/>
    <w:rsid w:val="00A2184B"/>
    <w:rsid w:val="00A2197E"/>
    <w:rsid w:val="00A219E4"/>
    <w:rsid w:val="00A21B4B"/>
    <w:rsid w:val="00A21B5E"/>
    <w:rsid w:val="00A21C52"/>
    <w:rsid w:val="00A21D97"/>
    <w:rsid w:val="00A22353"/>
    <w:rsid w:val="00A223E6"/>
    <w:rsid w:val="00A22410"/>
    <w:rsid w:val="00A22448"/>
    <w:rsid w:val="00A224E9"/>
    <w:rsid w:val="00A2252D"/>
    <w:rsid w:val="00A22585"/>
    <w:rsid w:val="00A22588"/>
    <w:rsid w:val="00A2259A"/>
    <w:rsid w:val="00A2260E"/>
    <w:rsid w:val="00A2275F"/>
    <w:rsid w:val="00A22A7F"/>
    <w:rsid w:val="00A22AFA"/>
    <w:rsid w:val="00A22CC5"/>
    <w:rsid w:val="00A22D5F"/>
    <w:rsid w:val="00A22E7B"/>
    <w:rsid w:val="00A22F1E"/>
    <w:rsid w:val="00A22FD8"/>
    <w:rsid w:val="00A232FB"/>
    <w:rsid w:val="00A2341C"/>
    <w:rsid w:val="00A234C9"/>
    <w:rsid w:val="00A235C2"/>
    <w:rsid w:val="00A23653"/>
    <w:rsid w:val="00A23702"/>
    <w:rsid w:val="00A2382C"/>
    <w:rsid w:val="00A239D9"/>
    <w:rsid w:val="00A23B4B"/>
    <w:rsid w:val="00A23C0A"/>
    <w:rsid w:val="00A23C6A"/>
    <w:rsid w:val="00A24070"/>
    <w:rsid w:val="00A24099"/>
    <w:rsid w:val="00A241EA"/>
    <w:rsid w:val="00A243BC"/>
    <w:rsid w:val="00A24549"/>
    <w:rsid w:val="00A2457C"/>
    <w:rsid w:val="00A246B8"/>
    <w:rsid w:val="00A24860"/>
    <w:rsid w:val="00A248BB"/>
    <w:rsid w:val="00A24C07"/>
    <w:rsid w:val="00A24C8D"/>
    <w:rsid w:val="00A24CDC"/>
    <w:rsid w:val="00A24D66"/>
    <w:rsid w:val="00A24ED1"/>
    <w:rsid w:val="00A25063"/>
    <w:rsid w:val="00A250AC"/>
    <w:rsid w:val="00A25215"/>
    <w:rsid w:val="00A2524C"/>
    <w:rsid w:val="00A25268"/>
    <w:rsid w:val="00A2531F"/>
    <w:rsid w:val="00A25344"/>
    <w:rsid w:val="00A2542F"/>
    <w:rsid w:val="00A2544A"/>
    <w:rsid w:val="00A2545D"/>
    <w:rsid w:val="00A25551"/>
    <w:rsid w:val="00A256B4"/>
    <w:rsid w:val="00A256DA"/>
    <w:rsid w:val="00A257CC"/>
    <w:rsid w:val="00A25887"/>
    <w:rsid w:val="00A25908"/>
    <w:rsid w:val="00A25939"/>
    <w:rsid w:val="00A25975"/>
    <w:rsid w:val="00A259EF"/>
    <w:rsid w:val="00A25AD1"/>
    <w:rsid w:val="00A25B3A"/>
    <w:rsid w:val="00A25CD9"/>
    <w:rsid w:val="00A25CF2"/>
    <w:rsid w:val="00A25D0F"/>
    <w:rsid w:val="00A25D33"/>
    <w:rsid w:val="00A25D5F"/>
    <w:rsid w:val="00A25DAD"/>
    <w:rsid w:val="00A25DFB"/>
    <w:rsid w:val="00A25E0C"/>
    <w:rsid w:val="00A25EB4"/>
    <w:rsid w:val="00A25F28"/>
    <w:rsid w:val="00A25FFE"/>
    <w:rsid w:val="00A260D6"/>
    <w:rsid w:val="00A261EB"/>
    <w:rsid w:val="00A2620B"/>
    <w:rsid w:val="00A26349"/>
    <w:rsid w:val="00A264B9"/>
    <w:rsid w:val="00A265D4"/>
    <w:rsid w:val="00A26679"/>
    <w:rsid w:val="00A26884"/>
    <w:rsid w:val="00A26932"/>
    <w:rsid w:val="00A269EF"/>
    <w:rsid w:val="00A26A09"/>
    <w:rsid w:val="00A26B6A"/>
    <w:rsid w:val="00A26C1E"/>
    <w:rsid w:val="00A26C57"/>
    <w:rsid w:val="00A26C5E"/>
    <w:rsid w:val="00A26C92"/>
    <w:rsid w:val="00A26D27"/>
    <w:rsid w:val="00A26E5C"/>
    <w:rsid w:val="00A26EA2"/>
    <w:rsid w:val="00A26EC9"/>
    <w:rsid w:val="00A26F2D"/>
    <w:rsid w:val="00A27008"/>
    <w:rsid w:val="00A2714C"/>
    <w:rsid w:val="00A27181"/>
    <w:rsid w:val="00A272A3"/>
    <w:rsid w:val="00A27364"/>
    <w:rsid w:val="00A274EE"/>
    <w:rsid w:val="00A275AB"/>
    <w:rsid w:val="00A275B6"/>
    <w:rsid w:val="00A27696"/>
    <w:rsid w:val="00A276A9"/>
    <w:rsid w:val="00A27A81"/>
    <w:rsid w:val="00A27A87"/>
    <w:rsid w:val="00A27AD6"/>
    <w:rsid w:val="00A27B68"/>
    <w:rsid w:val="00A27BA2"/>
    <w:rsid w:val="00A27CEA"/>
    <w:rsid w:val="00A27E57"/>
    <w:rsid w:val="00A30094"/>
    <w:rsid w:val="00A3011B"/>
    <w:rsid w:val="00A30139"/>
    <w:rsid w:val="00A30207"/>
    <w:rsid w:val="00A3026C"/>
    <w:rsid w:val="00A302D9"/>
    <w:rsid w:val="00A303A5"/>
    <w:rsid w:val="00A306AE"/>
    <w:rsid w:val="00A306B4"/>
    <w:rsid w:val="00A3073B"/>
    <w:rsid w:val="00A308CB"/>
    <w:rsid w:val="00A30918"/>
    <w:rsid w:val="00A30A0B"/>
    <w:rsid w:val="00A30A92"/>
    <w:rsid w:val="00A30B0B"/>
    <w:rsid w:val="00A30B6A"/>
    <w:rsid w:val="00A30D82"/>
    <w:rsid w:val="00A30E7C"/>
    <w:rsid w:val="00A30F88"/>
    <w:rsid w:val="00A31198"/>
    <w:rsid w:val="00A312BC"/>
    <w:rsid w:val="00A312D9"/>
    <w:rsid w:val="00A312FE"/>
    <w:rsid w:val="00A314A2"/>
    <w:rsid w:val="00A3156E"/>
    <w:rsid w:val="00A315EA"/>
    <w:rsid w:val="00A31667"/>
    <w:rsid w:val="00A317C7"/>
    <w:rsid w:val="00A317D8"/>
    <w:rsid w:val="00A317EC"/>
    <w:rsid w:val="00A317FF"/>
    <w:rsid w:val="00A3182C"/>
    <w:rsid w:val="00A31903"/>
    <w:rsid w:val="00A319B4"/>
    <w:rsid w:val="00A31A3C"/>
    <w:rsid w:val="00A31D62"/>
    <w:rsid w:val="00A320CA"/>
    <w:rsid w:val="00A321D6"/>
    <w:rsid w:val="00A321EC"/>
    <w:rsid w:val="00A32464"/>
    <w:rsid w:val="00A32658"/>
    <w:rsid w:val="00A32668"/>
    <w:rsid w:val="00A3285F"/>
    <w:rsid w:val="00A3294B"/>
    <w:rsid w:val="00A3295F"/>
    <w:rsid w:val="00A329BA"/>
    <w:rsid w:val="00A32B5C"/>
    <w:rsid w:val="00A32DD9"/>
    <w:rsid w:val="00A3301D"/>
    <w:rsid w:val="00A3318A"/>
    <w:rsid w:val="00A33395"/>
    <w:rsid w:val="00A333E5"/>
    <w:rsid w:val="00A334D9"/>
    <w:rsid w:val="00A33500"/>
    <w:rsid w:val="00A33544"/>
    <w:rsid w:val="00A33575"/>
    <w:rsid w:val="00A33728"/>
    <w:rsid w:val="00A3373D"/>
    <w:rsid w:val="00A337B0"/>
    <w:rsid w:val="00A337C1"/>
    <w:rsid w:val="00A33884"/>
    <w:rsid w:val="00A33AA8"/>
    <w:rsid w:val="00A33B22"/>
    <w:rsid w:val="00A33B80"/>
    <w:rsid w:val="00A33BAE"/>
    <w:rsid w:val="00A33BB4"/>
    <w:rsid w:val="00A33BD8"/>
    <w:rsid w:val="00A33C9B"/>
    <w:rsid w:val="00A33FFD"/>
    <w:rsid w:val="00A3405C"/>
    <w:rsid w:val="00A342DF"/>
    <w:rsid w:val="00A344BC"/>
    <w:rsid w:val="00A346D9"/>
    <w:rsid w:val="00A34730"/>
    <w:rsid w:val="00A3493D"/>
    <w:rsid w:val="00A34984"/>
    <w:rsid w:val="00A34B11"/>
    <w:rsid w:val="00A34C0E"/>
    <w:rsid w:val="00A34C3E"/>
    <w:rsid w:val="00A34CE1"/>
    <w:rsid w:val="00A35341"/>
    <w:rsid w:val="00A354EB"/>
    <w:rsid w:val="00A35528"/>
    <w:rsid w:val="00A35631"/>
    <w:rsid w:val="00A35851"/>
    <w:rsid w:val="00A3593A"/>
    <w:rsid w:val="00A3593B"/>
    <w:rsid w:val="00A35BF1"/>
    <w:rsid w:val="00A35D50"/>
    <w:rsid w:val="00A35E1B"/>
    <w:rsid w:val="00A35F1E"/>
    <w:rsid w:val="00A360BC"/>
    <w:rsid w:val="00A361F6"/>
    <w:rsid w:val="00A36289"/>
    <w:rsid w:val="00A362CD"/>
    <w:rsid w:val="00A362D9"/>
    <w:rsid w:val="00A3643A"/>
    <w:rsid w:val="00A36579"/>
    <w:rsid w:val="00A365AA"/>
    <w:rsid w:val="00A36710"/>
    <w:rsid w:val="00A3677F"/>
    <w:rsid w:val="00A36815"/>
    <w:rsid w:val="00A36972"/>
    <w:rsid w:val="00A369F6"/>
    <w:rsid w:val="00A36B68"/>
    <w:rsid w:val="00A36D6E"/>
    <w:rsid w:val="00A36E22"/>
    <w:rsid w:val="00A36FED"/>
    <w:rsid w:val="00A373A7"/>
    <w:rsid w:val="00A376FF"/>
    <w:rsid w:val="00A378B9"/>
    <w:rsid w:val="00A37B17"/>
    <w:rsid w:val="00A37CEE"/>
    <w:rsid w:val="00A37D12"/>
    <w:rsid w:val="00A40046"/>
    <w:rsid w:val="00A4006B"/>
    <w:rsid w:val="00A402D8"/>
    <w:rsid w:val="00A40358"/>
    <w:rsid w:val="00A404E3"/>
    <w:rsid w:val="00A4054D"/>
    <w:rsid w:val="00A40563"/>
    <w:rsid w:val="00A40688"/>
    <w:rsid w:val="00A40703"/>
    <w:rsid w:val="00A407DD"/>
    <w:rsid w:val="00A40877"/>
    <w:rsid w:val="00A408CD"/>
    <w:rsid w:val="00A408E0"/>
    <w:rsid w:val="00A40924"/>
    <w:rsid w:val="00A40A00"/>
    <w:rsid w:val="00A40A03"/>
    <w:rsid w:val="00A40CBC"/>
    <w:rsid w:val="00A40D5F"/>
    <w:rsid w:val="00A40FA4"/>
    <w:rsid w:val="00A41007"/>
    <w:rsid w:val="00A4108A"/>
    <w:rsid w:val="00A4124B"/>
    <w:rsid w:val="00A41339"/>
    <w:rsid w:val="00A4139E"/>
    <w:rsid w:val="00A413A8"/>
    <w:rsid w:val="00A413D9"/>
    <w:rsid w:val="00A41466"/>
    <w:rsid w:val="00A4153E"/>
    <w:rsid w:val="00A415BD"/>
    <w:rsid w:val="00A4167A"/>
    <w:rsid w:val="00A41CDF"/>
    <w:rsid w:val="00A41D54"/>
    <w:rsid w:val="00A41EB5"/>
    <w:rsid w:val="00A41EF2"/>
    <w:rsid w:val="00A41FE0"/>
    <w:rsid w:val="00A42004"/>
    <w:rsid w:val="00A4203D"/>
    <w:rsid w:val="00A420EC"/>
    <w:rsid w:val="00A42157"/>
    <w:rsid w:val="00A42313"/>
    <w:rsid w:val="00A42454"/>
    <w:rsid w:val="00A4253F"/>
    <w:rsid w:val="00A42593"/>
    <w:rsid w:val="00A4269D"/>
    <w:rsid w:val="00A426B7"/>
    <w:rsid w:val="00A42875"/>
    <w:rsid w:val="00A429C2"/>
    <w:rsid w:val="00A42A7D"/>
    <w:rsid w:val="00A42DE4"/>
    <w:rsid w:val="00A42E25"/>
    <w:rsid w:val="00A42FA7"/>
    <w:rsid w:val="00A43164"/>
    <w:rsid w:val="00A43181"/>
    <w:rsid w:val="00A43342"/>
    <w:rsid w:val="00A434C4"/>
    <w:rsid w:val="00A4359F"/>
    <w:rsid w:val="00A435A9"/>
    <w:rsid w:val="00A4369A"/>
    <w:rsid w:val="00A4369D"/>
    <w:rsid w:val="00A43726"/>
    <w:rsid w:val="00A437AF"/>
    <w:rsid w:val="00A43937"/>
    <w:rsid w:val="00A43A58"/>
    <w:rsid w:val="00A43BF0"/>
    <w:rsid w:val="00A43BF4"/>
    <w:rsid w:val="00A43C05"/>
    <w:rsid w:val="00A43C2E"/>
    <w:rsid w:val="00A43CA0"/>
    <w:rsid w:val="00A43DF5"/>
    <w:rsid w:val="00A43FF3"/>
    <w:rsid w:val="00A44078"/>
    <w:rsid w:val="00A44185"/>
    <w:rsid w:val="00A441BC"/>
    <w:rsid w:val="00A44220"/>
    <w:rsid w:val="00A442AF"/>
    <w:rsid w:val="00A44509"/>
    <w:rsid w:val="00A44521"/>
    <w:rsid w:val="00A44620"/>
    <w:rsid w:val="00A44665"/>
    <w:rsid w:val="00A4471C"/>
    <w:rsid w:val="00A44837"/>
    <w:rsid w:val="00A44891"/>
    <w:rsid w:val="00A44A20"/>
    <w:rsid w:val="00A44A24"/>
    <w:rsid w:val="00A44B63"/>
    <w:rsid w:val="00A44C0A"/>
    <w:rsid w:val="00A44C76"/>
    <w:rsid w:val="00A44CD2"/>
    <w:rsid w:val="00A44E21"/>
    <w:rsid w:val="00A44E2D"/>
    <w:rsid w:val="00A44E4D"/>
    <w:rsid w:val="00A44EA8"/>
    <w:rsid w:val="00A44FD3"/>
    <w:rsid w:val="00A45079"/>
    <w:rsid w:val="00A451DC"/>
    <w:rsid w:val="00A45256"/>
    <w:rsid w:val="00A45469"/>
    <w:rsid w:val="00A454F1"/>
    <w:rsid w:val="00A45639"/>
    <w:rsid w:val="00A458FB"/>
    <w:rsid w:val="00A45B65"/>
    <w:rsid w:val="00A45DBD"/>
    <w:rsid w:val="00A45E5B"/>
    <w:rsid w:val="00A45E89"/>
    <w:rsid w:val="00A45FE1"/>
    <w:rsid w:val="00A4606E"/>
    <w:rsid w:val="00A46086"/>
    <w:rsid w:val="00A4616F"/>
    <w:rsid w:val="00A4626E"/>
    <w:rsid w:val="00A462A5"/>
    <w:rsid w:val="00A46317"/>
    <w:rsid w:val="00A46423"/>
    <w:rsid w:val="00A46538"/>
    <w:rsid w:val="00A465A4"/>
    <w:rsid w:val="00A4663A"/>
    <w:rsid w:val="00A4666A"/>
    <w:rsid w:val="00A4672E"/>
    <w:rsid w:val="00A46828"/>
    <w:rsid w:val="00A46852"/>
    <w:rsid w:val="00A46A46"/>
    <w:rsid w:val="00A46AAB"/>
    <w:rsid w:val="00A46ADB"/>
    <w:rsid w:val="00A46B29"/>
    <w:rsid w:val="00A46B34"/>
    <w:rsid w:val="00A46B7C"/>
    <w:rsid w:val="00A46E4A"/>
    <w:rsid w:val="00A46E66"/>
    <w:rsid w:val="00A46E8E"/>
    <w:rsid w:val="00A46EE1"/>
    <w:rsid w:val="00A46FD5"/>
    <w:rsid w:val="00A471AA"/>
    <w:rsid w:val="00A471BE"/>
    <w:rsid w:val="00A472C8"/>
    <w:rsid w:val="00A472F1"/>
    <w:rsid w:val="00A4733A"/>
    <w:rsid w:val="00A474D4"/>
    <w:rsid w:val="00A47607"/>
    <w:rsid w:val="00A477F5"/>
    <w:rsid w:val="00A4792A"/>
    <w:rsid w:val="00A47ACD"/>
    <w:rsid w:val="00A47BD0"/>
    <w:rsid w:val="00A47C6C"/>
    <w:rsid w:val="00A47DCE"/>
    <w:rsid w:val="00A47E0B"/>
    <w:rsid w:val="00A503D8"/>
    <w:rsid w:val="00A5048D"/>
    <w:rsid w:val="00A508D9"/>
    <w:rsid w:val="00A5091D"/>
    <w:rsid w:val="00A50A54"/>
    <w:rsid w:val="00A50ACB"/>
    <w:rsid w:val="00A50B08"/>
    <w:rsid w:val="00A50C19"/>
    <w:rsid w:val="00A50D46"/>
    <w:rsid w:val="00A50E3D"/>
    <w:rsid w:val="00A50F5D"/>
    <w:rsid w:val="00A511A2"/>
    <w:rsid w:val="00A513C3"/>
    <w:rsid w:val="00A514B5"/>
    <w:rsid w:val="00A514B8"/>
    <w:rsid w:val="00A514BD"/>
    <w:rsid w:val="00A514E4"/>
    <w:rsid w:val="00A5160F"/>
    <w:rsid w:val="00A51685"/>
    <w:rsid w:val="00A5171A"/>
    <w:rsid w:val="00A517BF"/>
    <w:rsid w:val="00A51804"/>
    <w:rsid w:val="00A518FC"/>
    <w:rsid w:val="00A519B2"/>
    <w:rsid w:val="00A519B4"/>
    <w:rsid w:val="00A51A30"/>
    <w:rsid w:val="00A51A96"/>
    <w:rsid w:val="00A51B06"/>
    <w:rsid w:val="00A51B2F"/>
    <w:rsid w:val="00A51DA0"/>
    <w:rsid w:val="00A51DC0"/>
    <w:rsid w:val="00A51E91"/>
    <w:rsid w:val="00A51F6E"/>
    <w:rsid w:val="00A5204B"/>
    <w:rsid w:val="00A520F7"/>
    <w:rsid w:val="00A52109"/>
    <w:rsid w:val="00A523E5"/>
    <w:rsid w:val="00A524B6"/>
    <w:rsid w:val="00A524C5"/>
    <w:rsid w:val="00A525E6"/>
    <w:rsid w:val="00A5270E"/>
    <w:rsid w:val="00A52726"/>
    <w:rsid w:val="00A52749"/>
    <w:rsid w:val="00A52893"/>
    <w:rsid w:val="00A52993"/>
    <w:rsid w:val="00A52BBA"/>
    <w:rsid w:val="00A52DFB"/>
    <w:rsid w:val="00A53152"/>
    <w:rsid w:val="00A5327F"/>
    <w:rsid w:val="00A532EF"/>
    <w:rsid w:val="00A533BF"/>
    <w:rsid w:val="00A533C0"/>
    <w:rsid w:val="00A53500"/>
    <w:rsid w:val="00A5357E"/>
    <w:rsid w:val="00A5365A"/>
    <w:rsid w:val="00A53687"/>
    <w:rsid w:val="00A53779"/>
    <w:rsid w:val="00A537B9"/>
    <w:rsid w:val="00A537D7"/>
    <w:rsid w:val="00A53A34"/>
    <w:rsid w:val="00A53A42"/>
    <w:rsid w:val="00A53B21"/>
    <w:rsid w:val="00A53BD5"/>
    <w:rsid w:val="00A53BDD"/>
    <w:rsid w:val="00A53C92"/>
    <w:rsid w:val="00A5409B"/>
    <w:rsid w:val="00A54651"/>
    <w:rsid w:val="00A54795"/>
    <w:rsid w:val="00A54946"/>
    <w:rsid w:val="00A549E5"/>
    <w:rsid w:val="00A54AA3"/>
    <w:rsid w:val="00A54BA2"/>
    <w:rsid w:val="00A54D41"/>
    <w:rsid w:val="00A54F42"/>
    <w:rsid w:val="00A54F6D"/>
    <w:rsid w:val="00A54FA9"/>
    <w:rsid w:val="00A55074"/>
    <w:rsid w:val="00A5533E"/>
    <w:rsid w:val="00A55351"/>
    <w:rsid w:val="00A553AB"/>
    <w:rsid w:val="00A554F5"/>
    <w:rsid w:val="00A555FC"/>
    <w:rsid w:val="00A5564C"/>
    <w:rsid w:val="00A556A4"/>
    <w:rsid w:val="00A55767"/>
    <w:rsid w:val="00A55828"/>
    <w:rsid w:val="00A55845"/>
    <w:rsid w:val="00A558A4"/>
    <w:rsid w:val="00A55A67"/>
    <w:rsid w:val="00A55AC6"/>
    <w:rsid w:val="00A55B02"/>
    <w:rsid w:val="00A55BF0"/>
    <w:rsid w:val="00A55C18"/>
    <w:rsid w:val="00A55CBA"/>
    <w:rsid w:val="00A55E91"/>
    <w:rsid w:val="00A560CE"/>
    <w:rsid w:val="00A56223"/>
    <w:rsid w:val="00A56427"/>
    <w:rsid w:val="00A56493"/>
    <w:rsid w:val="00A5676A"/>
    <w:rsid w:val="00A567B1"/>
    <w:rsid w:val="00A5681A"/>
    <w:rsid w:val="00A568A7"/>
    <w:rsid w:val="00A56954"/>
    <w:rsid w:val="00A56A47"/>
    <w:rsid w:val="00A56A8E"/>
    <w:rsid w:val="00A56AED"/>
    <w:rsid w:val="00A56E13"/>
    <w:rsid w:val="00A56E95"/>
    <w:rsid w:val="00A56EEB"/>
    <w:rsid w:val="00A5729F"/>
    <w:rsid w:val="00A572AB"/>
    <w:rsid w:val="00A572BE"/>
    <w:rsid w:val="00A572EC"/>
    <w:rsid w:val="00A572FE"/>
    <w:rsid w:val="00A5739E"/>
    <w:rsid w:val="00A57449"/>
    <w:rsid w:val="00A57506"/>
    <w:rsid w:val="00A57579"/>
    <w:rsid w:val="00A57615"/>
    <w:rsid w:val="00A57713"/>
    <w:rsid w:val="00A57755"/>
    <w:rsid w:val="00A5780C"/>
    <w:rsid w:val="00A5786A"/>
    <w:rsid w:val="00A57923"/>
    <w:rsid w:val="00A57AEB"/>
    <w:rsid w:val="00A57BB0"/>
    <w:rsid w:val="00A57CF9"/>
    <w:rsid w:val="00A57D44"/>
    <w:rsid w:val="00A57F92"/>
    <w:rsid w:val="00A601D2"/>
    <w:rsid w:val="00A602FC"/>
    <w:rsid w:val="00A6041D"/>
    <w:rsid w:val="00A607BC"/>
    <w:rsid w:val="00A6088F"/>
    <w:rsid w:val="00A608AC"/>
    <w:rsid w:val="00A608FF"/>
    <w:rsid w:val="00A6092F"/>
    <w:rsid w:val="00A60989"/>
    <w:rsid w:val="00A60CBA"/>
    <w:rsid w:val="00A60D4E"/>
    <w:rsid w:val="00A60DD8"/>
    <w:rsid w:val="00A60F9B"/>
    <w:rsid w:val="00A60FB5"/>
    <w:rsid w:val="00A60FEE"/>
    <w:rsid w:val="00A61014"/>
    <w:rsid w:val="00A61103"/>
    <w:rsid w:val="00A613DF"/>
    <w:rsid w:val="00A6143C"/>
    <w:rsid w:val="00A615A0"/>
    <w:rsid w:val="00A61685"/>
    <w:rsid w:val="00A617AD"/>
    <w:rsid w:val="00A618D4"/>
    <w:rsid w:val="00A61AA1"/>
    <w:rsid w:val="00A61AFF"/>
    <w:rsid w:val="00A61B2A"/>
    <w:rsid w:val="00A61C4D"/>
    <w:rsid w:val="00A61CEA"/>
    <w:rsid w:val="00A61E97"/>
    <w:rsid w:val="00A62048"/>
    <w:rsid w:val="00A621C5"/>
    <w:rsid w:val="00A62534"/>
    <w:rsid w:val="00A62799"/>
    <w:rsid w:val="00A6280C"/>
    <w:rsid w:val="00A62810"/>
    <w:rsid w:val="00A62826"/>
    <w:rsid w:val="00A62928"/>
    <w:rsid w:val="00A62942"/>
    <w:rsid w:val="00A629DC"/>
    <w:rsid w:val="00A62AB3"/>
    <w:rsid w:val="00A62AC5"/>
    <w:rsid w:val="00A62B8C"/>
    <w:rsid w:val="00A62CB7"/>
    <w:rsid w:val="00A62E93"/>
    <w:rsid w:val="00A62F04"/>
    <w:rsid w:val="00A62F5C"/>
    <w:rsid w:val="00A630A4"/>
    <w:rsid w:val="00A630A7"/>
    <w:rsid w:val="00A632AA"/>
    <w:rsid w:val="00A6365C"/>
    <w:rsid w:val="00A636D7"/>
    <w:rsid w:val="00A63BC6"/>
    <w:rsid w:val="00A63BFC"/>
    <w:rsid w:val="00A63C52"/>
    <w:rsid w:val="00A63CF0"/>
    <w:rsid w:val="00A63E2A"/>
    <w:rsid w:val="00A63E69"/>
    <w:rsid w:val="00A63EAA"/>
    <w:rsid w:val="00A63F37"/>
    <w:rsid w:val="00A63F39"/>
    <w:rsid w:val="00A63F3C"/>
    <w:rsid w:val="00A64003"/>
    <w:rsid w:val="00A64404"/>
    <w:rsid w:val="00A64570"/>
    <w:rsid w:val="00A6474F"/>
    <w:rsid w:val="00A647ED"/>
    <w:rsid w:val="00A64820"/>
    <w:rsid w:val="00A648F1"/>
    <w:rsid w:val="00A649E3"/>
    <w:rsid w:val="00A64AEB"/>
    <w:rsid w:val="00A64B92"/>
    <w:rsid w:val="00A64DA5"/>
    <w:rsid w:val="00A64E34"/>
    <w:rsid w:val="00A64F68"/>
    <w:rsid w:val="00A64FBD"/>
    <w:rsid w:val="00A64FE0"/>
    <w:rsid w:val="00A65012"/>
    <w:rsid w:val="00A6523A"/>
    <w:rsid w:val="00A6523C"/>
    <w:rsid w:val="00A653DC"/>
    <w:rsid w:val="00A65422"/>
    <w:rsid w:val="00A656FD"/>
    <w:rsid w:val="00A658E7"/>
    <w:rsid w:val="00A65AEE"/>
    <w:rsid w:val="00A65B32"/>
    <w:rsid w:val="00A65C7B"/>
    <w:rsid w:val="00A65E75"/>
    <w:rsid w:val="00A65E7A"/>
    <w:rsid w:val="00A65FEE"/>
    <w:rsid w:val="00A66047"/>
    <w:rsid w:val="00A6616D"/>
    <w:rsid w:val="00A661B0"/>
    <w:rsid w:val="00A662AE"/>
    <w:rsid w:val="00A6665A"/>
    <w:rsid w:val="00A6693D"/>
    <w:rsid w:val="00A669B1"/>
    <w:rsid w:val="00A66ABA"/>
    <w:rsid w:val="00A66ABB"/>
    <w:rsid w:val="00A66AC5"/>
    <w:rsid w:val="00A66B3D"/>
    <w:rsid w:val="00A66C26"/>
    <w:rsid w:val="00A66C77"/>
    <w:rsid w:val="00A66D58"/>
    <w:rsid w:val="00A66E04"/>
    <w:rsid w:val="00A66E18"/>
    <w:rsid w:val="00A66E82"/>
    <w:rsid w:val="00A66F1A"/>
    <w:rsid w:val="00A67111"/>
    <w:rsid w:val="00A67313"/>
    <w:rsid w:val="00A67363"/>
    <w:rsid w:val="00A673A5"/>
    <w:rsid w:val="00A67473"/>
    <w:rsid w:val="00A674AB"/>
    <w:rsid w:val="00A67557"/>
    <w:rsid w:val="00A67585"/>
    <w:rsid w:val="00A67656"/>
    <w:rsid w:val="00A676B2"/>
    <w:rsid w:val="00A677EE"/>
    <w:rsid w:val="00A67AC9"/>
    <w:rsid w:val="00A67B0D"/>
    <w:rsid w:val="00A67B18"/>
    <w:rsid w:val="00A67D50"/>
    <w:rsid w:val="00A67E49"/>
    <w:rsid w:val="00A67EC5"/>
    <w:rsid w:val="00A7000A"/>
    <w:rsid w:val="00A7009E"/>
    <w:rsid w:val="00A703C1"/>
    <w:rsid w:val="00A7058A"/>
    <w:rsid w:val="00A705F2"/>
    <w:rsid w:val="00A70649"/>
    <w:rsid w:val="00A7067F"/>
    <w:rsid w:val="00A706C3"/>
    <w:rsid w:val="00A707FB"/>
    <w:rsid w:val="00A708FB"/>
    <w:rsid w:val="00A70943"/>
    <w:rsid w:val="00A7095C"/>
    <w:rsid w:val="00A70BEC"/>
    <w:rsid w:val="00A70D21"/>
    <w:rsid w:val="00A70D44"/>
    <w:rsid w:val="00A70DB7"/>
    <w:rsid w:val="00A70E19"/>
    <w:rsid w:val="00A70E9E"/>
    <w:rsid w:val="00A71009"/>
    <w:rsid w:val="00A71014"/>
    <w:rsid w:val="00A710C5"/>
    <w:rsid w:val="00A71123"/>
    <w:rsid w:val="00A71135"/>
    <w:rsid w:val="00A711E3"/>
    <w:rsid w:val="00A711E7"/>
    <w:rsid w:val="00A715FE"/>
    <w:rsid w:val="00A717AC"/>
    <w:rsid w:val="00A717BB"/>
    <w:rsid w:val="00A7189B"/>
    <w:rsid w:val="00A719A2"/>
    <w:rsid w:val="00A71B21"/>
    <w:rsid w:val="00A71CA7"/>
    <w:rsid w:val="00A71F00"/>
    <w:rsid w:val="00A71F3C"/>
    <w:rsid w:val="00A72001"/>
    <w:rsid w:val="00A72049"/>
    <w:rsid w:val="00A7206E"/>
    <w:rsid w:val="00A721EC"/>
    <w:rsid w:val="00A722A9"/>
    <w:rsid w:val="00A723D1"/>
    <w:rsid w:val="00A72447"/>
    <w:rsid w:val="00A724B8"/>
    <w:rsid w:val="00A7262A"/>
    <w:rsid w:val="00A7267A"/>
    <w:rsid w:val="00A72742"/>
    <w:rsid w:val="00A728FA"/>
    <w:rsid w:val="00A72A31"/>
    <w:rsid w:val="00A72A4F"/>
    <w:rsid w:val="00A72AFD"/>
    <w:rsid w:val="00A72B78"/>
    <w:rsid w:val="00A72C00"/>
    <w:rsid w:val="00A72C97"/>
    <w:rsid w:val="00A72FFD"/>
    <w:rsid w:val="00A730E7"/>
    <w:rsid w:val="00A731EB"/>
    <w:rsid w:val="00A734AB"/>
    <w:rsid w:val="00A73874"/>
    <w:rsid w:val="00A738D8"/>
    <w:rsid w:val="00A73B0E"/>
    <w:rsid w:val="00A73DDB"/>
    <w:rsid w:val="00A73E2D"/>
    <w:rsid w:val="00A73ED9"/>
    <w:rsid w:val="00A740E3"/>
    <w:rsid w:val="00A740FF"/>
    <w:rsid w:val="00A74143"/>
    <w:rsid w:val="00A7421F"/>
    <w:rsid w:val="00A7424D"/>
    <w:rsid w:val="00A742D0"/>
    <w:rsid w:val="00A743AB"/>
    <w:rsid w:val="00A743F5"/>
    <w:rsid w:val="00A745A9"/>
    <w:rsid w:val="00A74660"/>
    <w:rsid w:val="00A746BD"/>
    <w:rsid w:val="00A746F4"/>
    <w:rsid w:val="00A746F6"/>
    <w:rsid w:val="00A7471A"/>
    <w:rsid w:val="00A7474E"/>
    <w:rsid w:val="00A7489E"/>
    <w:rsid w:val="00A74AE8"/>
    <w:rsid w:val="00A74B75"/>
    <w:rsid w:val="00A74BA1"/>
    <w:rsid w:val="00A74BCE"/>
    <w:rsid w:val="00A74E36"/>
    <w:rsid w:val="00A750FF"/>
    <w:rsid w:val="00A752EF"/>
    <w:rsid w:val="00A7537A"/>
    <w:rsid w:val="00A753CA"/>
    <w:rsid w:val="00A7544D"/>
    <w:rsid w:val="00A755B3"/>
    <w:rsid w:val="00A755E9"/>
    <w:rsid w:val="00A756BA"/>
    <w:rsid w:val="00A75908"/>
    <w:rsid w:val="00A75AC3"/>
    <w:rsid w:val="00A75D9F"/>
    <w:rsid w:val="00A75F9A"/>
    <w:rsid w:val="00A75FF0"/>
    <w:rsid w:val="00A7608D"/>
    <w:rsid w:val="00A7623C"/>
    <w:rsid w:val="00A763DA"/>
    <w:rsid w:val="00A76418"/>
    <w:rsid w:val="00A76470"/>
    <w:rsid w:val="00A7658E"/>
    <w:rsid w:val="00A76608"/>
    <w:rsid w:val="00A7661F"/>
    <w:rsid w:val="00A768C3"/>
    <w:rsid w:val="00A76CB3"/>
    <w:rsid w:val="00A76D2F"/>
    <w:rsid w:val="00A76DBB"/>
    <w:rsid w:val="00A76E59"/>
    <w:rsid w:val="00A76F87"/>
    <w:rsid w:val="00A77276"/>
    <w:rsid w:val="00A77305"/>
    <w:rsid w:val="00A773C5"/>
    <w:rsid w:val="00A773D1"/>
    <w:rsid w:val="00A775EA"/>
    <w:rsid w:val="00A77700"/>
    <w:rsid w:val="00A777AA"/>
    <w:rsid w:val="00A778BF"/>
    <w:rsid w:val="00A779C3"/>
    <w:rsid w:val="00A77A60"/>
    <w:rsid w:val="00A77C2F"/>
    <w:rsid w:val="00A77C47"/>
    <w:rsid w:val="00A77CC3"/>
    <w:rsid w:val="00A77CFC"/>
    <w:rsid w:val="00A77DF5"/>
    <w:rsid w:val="00A77F57"/>
    <w:rsid w:val="00A77F6C"/>
    <w:rsid w:val="00A80057"/>
    <w:rsid w:val="00A80218"/>
    <w:rsid w:val="00A803AA"/>
    <w:rsid w:val="00A80469"/>
    <w:rsid w:val="00A80597"/>
    <w:rsid w:val="00A805EC"/>
    <w:rsid w:val="00A80737"/>
    <w:rsid w:val="00A809A4"/>
    <w:rsid w:val="00A80B0E"/>
    <w:rsid w:val="00A80BB4"/>
    <w:rsid w:val="00A80C8B"/>
    <w:rsid w:val="00A80CEC"/>
    <w:rsid w:val="00A80D17"/>
    <w:rsid w:val="00A80D65"/>
    <w:rsid w:val="00A80DFF"/>
    <w:rsid w:val="00A80E0A"/>
    <w:rsid w:val="00A80E92"/>
    <w:rsid w:val="00A80EDE"/>
    <w:rsid w:val="00A80F4D"/>
    <w:rsid w:val="00A810C7"/>
    <w:rsid w:val="00A8122F"/>
    <w:rsid w:val="00A812C9"/>
    <w:rsid w:val="00A81521"/>
    <w:rsid w:val="00A81575"/>
    <w:rsid w:val="00A815FE"/>
    <w:rsid w:val="00A81737"/>
    <w:rsid w:val="00A81812"/>
    <w:rsid w:val="00A81889"/>
    <w:rsid w:val="00A8188A"/>
    <w:rsid w:val="00A818D1"/>
    <w:rsid w:val="00A81B86"/>
    <w:rsid w:val="00A81C65"/>
    <w:rsid w:val="00A81CA6"/>
    <w:rsid w:val="00A81CB0"/>
    <w:rsid w:val="00A81DD0"/>
    <w:rsid w:val="00A81F73"/>
    <w:rsid w:val="00A820D0"/>
    <w:rsid w:val="00A82115"/>
    <w:rsid w:val="00A821EA"/>
    <w:rsid w:val="00A822B0"/>
    <w:rsid w:val="00A82302"/>
    <w:rsid w:val="00A82593"/>
    <w:rsid w:val="00A8277D"/>
    <w:rsid w:val="00A82BD9"/>
    <w:rsid w:val="00A82F4C"/>
    <w:rsid w:val="00A83108"/>
    <w:rsid w:val="00A8311B"/>
    <w:rsid w:val="00A8380C"/>
    <w:rsid w:val="00A83875"/>
    <w:rsid w:val="00A83B26"/>
    <w:rsid w:val="00A83C23"/>
    <w:rsid w:val="00A83C4F"/>
    <w:rsid w:val="00A83CAA"/>
    <w:rsid w:val="00A83CAB"/>
    <w:rsid w:val="00A83CCD"/>
    <w:rsid w:val="00A83D07"/>
    <w:rsid w:val="00A83E4C"/>
    <w:rsid w:val="00A83F0A"/>
    <w:rsid w:val="00A83FE2"/>
    <w:rsid w:val="00A8416A"/>
    <w:rsid w:val="00A8420C"/>
    <w:rsid w:val="00A84234"/>
    <w:rsid w:val="00A8433D"/>
    <w:rsid w:val="00A8441F"/>
    <w:rsid w:val="00A844EA"/>
    <w:rsid w:val="00A845CC"/>
    <w:rsid w:val="00A84633"/>
    <w:rsid w:val="00A84865"/>
    <w:rsid w:val="00A84A3F"/>
    <w:rsid w:val="00A84AE5"/>
    <w:rsid w:val="00A84B9B"/>
    <w:rsid w:val="00A84BD6"/>
    <w:rsid w:val="00A84D61"/>
    <w:rsid w:val="00A84DDC"/>
    <w:rsid w:val="00A84F19"/>
    <w:rsid w:val="00A8509F"/>
    <w:rsid w:val="00A850AA"/>
    <w:rsid w:val="00A850E6"/>
    <w:rsid w:val="00A8510B"/>
    <w:rsid w:val="00A851F6"/>
    <w:rsid w:val="00A853A7"/>
    <w:rsid w:val="00A854D2"/>
    <w:rsid w:val="00A8555F"/>
    <w:rsid w:val="00A855EF"/>
    <w:rsid w:val="00A8566B"/>
    <w:rsid w:val="00A85984"/>
    <w:rsid w:val="00A859FF"/>
    <w:rsid w:val="00A85A24"/>
    <w:rsid w:val="00A85C60"/>
    <w:rsid w:val="00A85EE0"/>
    <w:rsid w:val="00A86132"/>
    <w:rsid w:val="00A862A6"/>
    <w:rsid w:val="00A862B7"/>
    <w:rsid w:val="00A86386"/>
    <w:rsid w:val="00A864D5"/>
    <w:rsid w:val="00A865A2"/>
    <w:rsid w:val="00A8665A"/>
    <w:rsid w:val="00A86813"/>
    <w:rsid w:val="00A869EA"/>
    <w:rsid w:val="00A86AA7"/>
    <w:rsid w:val="00A86B60"/>
    <w:rsid w:val="00A86D14"/>
    <w:rsid w:val="00A86DB3"/>
    <w:rsid w:val="00A86E5B"/>
    <w:rsid w:val="00A86EA5"/>
    <w:rsid w:val="00A87231"/>
    <w:rsid w:val="00A87385"/>
    <w:rsid w:val="00A874A1"/>
    <w:rsid w:val="00A87613"/>
    <w:rsid w:val="00A876C2"/>
    <w:rsid w:val="00A8795F"/>
    <w:rsid w:val="00A87A9A"/>
    <w:rsid w:val="00A87AD5"/>
    <w:rsid w:val="00A87B35"/>
    <w:rsid w:val="00A87BA1"/>
    <w:rsid w:val="00A87C36"/>
    <w:rsid w:val="00A87CDD"/>
    <w:rsid w:val="00A87D0E"/>
    <w:rsid w:val="00A87D49"/>
    <w:rsid w:val="00A87E9C"/>
    <w:rsid w:val="00A87F86"/>
    <w:rsid w:val="00A9002F"/>
    <w:rsid w:val="00A90096"/>
    <w:rsid w:val="00A90115"/>
    <w:rsid w:val="00A901EB"/>
    <w:rsid w:val="00A9034D"/>
    <w:rsid w:val="00A9035B"/>
    <w:rsid w:val="00A90493"/>
    <w:rsid w:val="00A90604"/>
    <w:rsid w:val="00A90981"/>
    <w:rsid w:val="00A90A00"/>
    <w:rsid w:val="00A90A24"/>
    <w:rsid w:val="00A90B7A"/>
    <w:rsid w:val="00A90E84"/>
    <w:rsid w:val="00A90F95"/>
    <w:rsid w:val="00A90F99"/>
    <w:rsid w:val="00A91060"/>
    <w:rsid w:val="00A91082"/>
    <w:rsid w:val="00A91124"/>
    <w:rsid w:val="00A911BE"/>
    <w:rsid w:val="00A9148A"/>
    <w:rsid w:val="00A91769"/>
    <w:rsid w:val="00A919C0"/>
    <w:rsid w:val="00A91ABD"/>
    <w:rsid w:val="00A91B5F"/>
    <w:rsid w:val="00A91C17"/>
    <w:rsid w:val="00A91C3B"/>
    <w:rsid w:val="00A91C94"/>
    <w:rsid w:val="00A91CDA"/>
    <w:rsid w:val="00A91DC6"/>
    <w:rsid w:val="00A91E4B"/>
    <w:rsid w:val="00A91EED"/>
    <w:rsid w:val="00A91F2B"/>
    <w:rsid w:val="00A921CF"/>
    <w:rsid w:val="00A921D6"/>
    <w:rsid w:val="00A921F1"/>
    <w:rsid w:val="00A92257"/>
    <w:rsid w:val="00A922B6"/>
    <w:rsid w:val="00A923AC"/>
    <w:rsid w:val="00A92408"/>
    <w:rsid w:val="00A92447"/>
    <w:rsid w:val="00A9246A"/>
    <w:rsid w:val="00A92624"/>
    <w:rsid w:val="00A927DC"/>
    <w:rsid w:val="00A92A36"/>
    <w:rsid w:val="00A92A91"/>
    <w:rsid w:val="00A92AE7"/>
    <w:rsid w:val="00A92ED0"/>
    <w:rsid w:val="00A92F8A"/>
    <w:rsid w:val="00A93004"/>
    <w:rsid w:val="00A93078"/>
    <w:rsid w:val="00A93200"/>
    <w:rsid w:val="00A932A8"/>
    <w:rsid w:val="00A93400"/>
    <w:rsid w:val="00A93424"/>
    <w:rsid w:val="00A934EF"/>
    <w:rsid w:val="00A93543"/>
    <w:rsid w:val="00A93597"/>
    <w:rsid w:val="00A936E1"/>
    <w:rsid w:val="00A93C6E"/>
    <w:rsid w:val="00A93DFF"/>
    <w:rsid w:val="00A93E19"/>
    <w:rsid w:val="00A93E3E"/>
    <w:rsid w:val="00A93FA8"/>
    <w:rsid w:val="00A94061"/>
    <w:rsid w:val="00A94094"/>
    <w:rsid w:val="00A9411E"/>
    <w:rsid w:val="00A94145"/>
    <w:rsid w:val="00A941B2"/>
    <w:rsid w:val="00A94229"/>
    <w:rsid w:val="00A9427C"/>
    <w:rsid w:val="00A9431B"/>
    <w:rsid w:val="00A944BD"/>
    <w:rsid w:val="00A94570"/>
    <w:rsid w:val="00A945AF"/>
    <w:rsid w:val="00A9483B"/>
    <w:rsid w:val="00A94C66"/>
    <w:rsid w:val="00A94C6B"/>
    <w:rsid w:val="00A94E03"/>
    <w:rsid w:val="00A94E09"/>
    <w:rsid w:val="00A94ECC"/>
    <w:rsid w:val="00A95041"/>
    <w:rsid w:val="00A9535D"/>
    <w:rsid w:val="00A9593D"/>
    <w:rsid w:val="00A95988"/>
    <w:rsid w:val="00A959A1"/>
    <w:rsid w:val="00A95A13"/>
    <w:rsid w:val="00A95AAC"/>
    <w:rsid w:val="00A95BA1"/>
    <w:rsid w:val="00A95C0A"/>
    <w:rsid w:val="00A95C63"/>
    <w:rsid w:val="00A95F43"/>
    <w:rsid w:val="00A960A3"/>
    <w:rsid w:val="00A961F3"/>
    <w:rsid w:val="00A96211"/>
    <w:rsid w:val="00A96314"/>
    <w:rsid w:val="00A964B2"/>
    <w:rsid w:val="00A964B5"/>
    <w:rsid w:val="00A964C4"/>
    <w:rsid w:val="00A965F4"/>
    <w:rsid w:val="00A9664A"/>
    <w:rsid w:val="00A9667B"/>
    <w:rsid w:val="00A966BA"/>
    <w:rsid w:val="00A966F8"/>
    <w:rsid w:val="00A9673D"/>
    <w:rsid w:val="00A96851"/>
    <w:rsid w:val="00A96953"/>
    <w:rsid w:val="00A9698D"/>
    <w:rsid w:val="00A96AC3"/>
    <w:rsid w:val="00A96BB8"/>
    <w:rsid w:val="00A96C78"/>
    <w:rsid w:val="00A96CA1"/>
    <w:rsid w:val="00A96CF6"/>
    <w:rsid w:val="00A96E37"/>
    <w:rsid w:val="00A9702B"/>
    <w:rsid w:val="00A97032"/>
    <w:rsid w:val="00A9710D"/>
    <w:rsid w:val="00A9732F"/>
    <w:rsid w:val="00A97522"/>
    <w:rsid w:val="00A97692"/>
    <w:rsid w:val="00A976A7"/>
    <w:rsid w:val="00A978C5"/>
    <w:rsid w:val="00A9792E"/>
    <w:rsid w:val="00A97972"/>
    <w:rsid w:val="00A97989"/>
    <w:rsid w:val="00A97B04"/>
    <w:rsid w:val="00A97BC4"/>
    <w:rsid w:val="00A97C06"/>
    <w:rsid w:val="00A97C26"/>
    <w:rsid w:val="00A97D77"/>
    <w:rsid w:val="00A97ED7"/>
    <w:rsid w:val="00A97F5C"/>
    <w:rsid w:val="00AA00BA"/>
    <w:rsid w:val="00AA0144"/>
    <w:rsid w:val="00AA014E"/>
    <w:rsid w:val="00AA01E8"/>
    <w:rsid w:val="00AA03D5"/>
    <w:rsid w:val="00AA0547"/>
    <w:rsid w:val="00AA05AA"/>
    <w:rsid w:val="00AA082E"/>
    <w:rsid w:val="00AA09A2"/>
    <w:rsid w:val="00AA09CB"/>
    <w:rsid w:val="00AA0BAA"/>
    <w:rsid w:val="00AA0BD0"/>
    <w:rsid w:val="00AA0C43"/>
    <w:rsid w:val="00AA0CAE"/>
    <w:rsid w:val="00AA0CEE"/>
    <w:rsid w:val="00AA0D96"/>
    <w:rsid w:val="00AA0F77"/>
    <w:rsid w:val="00AA102F"/>
    <w:rsid w:val="00AA11A4"/>
    <w:rsid w:val="00AA1268"/>
    <w:rsid w:val="00AA13D5"/>
    <w:rsid w:val="00AA1591"/>
    <w:rsid w:val="00AA1751"/>
    <w:rsid w:val="00AA182F"/>
    <w:rsid w:val="00AA1918"/>
    <w:rsid w:val="00AA1A41"/>
    <w:rsid w:val="00AA1A96"/>
    <w:rsid w:val="00AA1D39"/>
    <w:rsid w:val="00AA1F7B"/>
    <w:rsid w:val="00AA1F85"/>
    <w:rsid w:val="00AA1FB5"/>
    <w:rsid w:val="00AA2168"/>
    <w:rsid w:val="00AA2324"/>
    <w:rsid w:val="00AA2567"/>
    <w:rsid w:val="00AA2570"/>
    <w:rsid w:val="00AA262C"/>
    <w:rsid w:val="00AA2670"/>
    <w:rsid w:val="00AA2939"/>
    <w:rsid w:val="00AA29C0"/>
    <w:rsid w:val="00AA2A00"/>
    <w:rsid w:val="00AA2B1F"/>
    <w:rsid w:val="00AA2CB0"/>
    <w:rsid w:val="00AA2D50"/>
    <w:rsid w:val="00AA2E47"/>
    <w:rsid w:val="00AA2E4B"/>
    <w:rsid w:val="00AA2E51"/>
    <w:rsid w:val="00AA2F8D"/>
    <w:rsid w:val="00AA30F8"/>
    <w:rsid w:val="00AA31AF"/>
    <w:rsid w:val="00AA323A"/>
    <w:rsid w:val="00AA326B"/>
    <w:rsid w:val="00AA326E"/>
    <w:rsid w:val="00AA335E"/>
    <w:rsid w:val="00AA34C6"/>
    <w:rsid w:val="00AA34CC"/>
    <w:rsid w:val="00AA354D"/>
    <w:rsid w:val="00AA3778"/>
    <w:rsid w:val="00AA3791"/>
    <w:rsid w:val="00AA395F"/>
    <w:rsid w:val="00AA3A31"/>
    <w:rsid w:val="00AA3A63"/>
    <w:rsid w:val="00AA3A6E"/>
    <w:rsid w:val="00AA3C6C"/>
    <w:rsid w:val="00AA3D0B"/>
    <w:rsid w:val="00AA3DC0"/>
    <w:rsid w:val="00AA419D"/>
    <w:rsid w:val="00AA41C7"/>
    <w:rsid w:val="00AA4222"/>
    <w:rsid w:val="00AA4281"/>
    <w:rsid w:val="00AA42D4"/>
    <w:rsid w:val="00AA4310"/>
    <w:rsid w:val="00AA4464"/>
    <w:rsid w:val="00AA450A"/>
    <w:rsid w:val="00AA4528"/>
    <w:rsid w:val="00AA4598"/>
    <w:rsid w:val="00AA47D9"/>
    <w:rsid w:val="00AA4AA7"/>
    <w:rsid w:val="00AA4B3C"/>
    <w:rsid w:val="00AA4E30"/>
    <w:rsid w:val="00AA4E3E"/>
    <w:rsid w:val="00AA4EF2"/>
    <w:rsid w:val="00AA4FC8"/>
    <w:rsid w:val="00AA505B"/>
    <w:rsid w:val="00AA50B9"/>
    <w:rsid w:val="00AA540E"/>
    <w:rsid w:val="00AA5438"/>
    <w:rsid w:val="00AA5594"/>
    <w:rsid w:val="00AA5A15"/>
    <w:rsid w:val="00AA5A43"/>
    <w:rsid w:val="00AA5B5A"/>
    <w:rsid w:val="00AA5D06"/>
    <w:rsid w:val="00AA5E45"/>
    <w:rsid w:val="00AA607E"/>
    <w:rsid w:val="00AA6085"/>
    <w:rsid w:val="00AA6139"/>
    <w:rsid w:val="00AA61CF"/>
    <w:rsid w:val="00AA6254"/>
    <w:rsid w:val="00AA62CA"/>
    <w:rsid w:val="00AA646D"/>
    <w:rsid w:val="00AA6470"/>
    <w:rsid w:val="00AA65E9"/>
    <w:rsid w:val="00AA666E"/>
    <w:rsid w:val="00AA6AAF"/>
    <w:rsid w:val="00AA6BB3"/>
    <w:rsid w:val="00AA6C88"/>
    <w:rsid w:val="00AA6D36"/>
    <w:rsid w:val="00AA6E4B"/>
    <w:rsid w:val="00AA7021"/>
    <w:rsid w:val="00AA70D6"/>
    <w:rsid w:val="00AA714A"/>
    <w:rsid w:val="00AA71B4"/>
    <w:rsid w:val="00AA724E"/>
    <w:rsid w:val="00AA728B"/>
    <w:rsid w:val="00AA72A2"/>
    <w:rsid w:val="00AA739F"/>
    <w:rsid w:val="00AA77B1"/>
    <w:rsid w:val="00AA77F0"/>
    <w:rsid w:val="00AA7979"/>
    <w:rsid w:val="00AA7B51"/>
    <w:rsid w:val="00AA7BEA"/>
    <w:rsid w:val="00AA7FFD"/>
    <w:rsid w:val="00AB0001"/>
    <w:rsid w:val="00AB04E7"/>
    <w:rsid w:val="00AB05F2"/>
    <w:rsid w:val="00AB061E"/>
    <w:rsid w:val="00AB07AE"/>
    <w:rsid w:val="00AB07C3"/>
    <w:rsid w:val="00AB0A26"/>
    <w:rsid w:val="00AB0E98"/>
    <w:rsid w:val="00AB1015"/>
    <w:rsid w:val="00AB133D"/>
    <w:rsid w:val="00AB13B6"/>
    <w:rsid w:val="00AB1658"/>
    <w:rsid w:val="00AB175E"/>
    <w:rsid w:val="00AB1908"/>
    <w:rsid w:val="00AB1957"/>
    <w:rsid w:val="00AB1A9F"/>
    <w:rsid w:val="00AB1B21"/>
    <w:rsid w:val="00AB1EA3"/>
    <w:rsid w:val="00AB1FF0"/>
    <w:rsid w:val="00AB201F"/>
    <w:rsid w:val="00AB2125"/>
    <w:rsid w:val="00AB21EB"/>
    <w:rsid w:val="00AB221E"/>
    <w:rsid w:val="00AB22FF"/>
    <w:rsid w:val="00AB23B4"/>
    <w:rsid w:val="00AB23EE"/>
    <w:rsid w:val="00AB248F"/>
    <w:rsid w:val="00AB25E9"/>
    <w:rsid w:val="00AB2788"/>
    <w:rsid w:val="00AB2869"/>
    <w:rsid w:val="00AB2887"/>
    <w:rsid w:val="00AB2A68"/>
    <w:rsid w:val="00AB2B22"/>
    <w:rsid w:val="00AB2B40"/>
    <w:rsid w:val="00AB2B62"/>
    <w:rsid w:val="00AB2C5D"/>
    <w:rsid w:val="00AB2D1C"/>
    <w:rsid w:val="00AB2D3D"/>
    <w:rsid w:val="00AB2D48"/>
    <w:rsid w:val="00AB2F91"/>
    <w:rsid w:val="00AB2FB7"/>
    <w:rsid w:val="00AB300F"/>
    <w:rsid w:val="00AB305D"/>
    <w:rsid w:val="00AB3076"/>
    <w:rsid w:val="00AB308F"/>
    <w:rsid w:val="00AB30A8"/>
    <w:rsid w:val="00AB3154"/>
    <w:rsid w:val="00AB3253"/>
    <w:rsid w:val="00AB32C5"/>
    <w:rsid w:val="00AB331E"/>
    <w:rsid w:val="00AB3422"/>
    <w:rsid w:val="00AB350F"/>
    <w:rsid w:val="00AB36AC"/>
    <w:rsid w:val="00AB36F6"/>
    <w:rsid w:val="00AB374E"/>
    <w:rsid w:val="00AB38AF"/>
    <w:rsid w:val="00AB38DD"/>
    <w:rsid w:val="00AB3A19"/>
    <w:rsid w:val="00AB3A32"/>
    <w:rsid w:val="00AB3AEE"/>
    <w:rsid w:val="00AB3C38"/>
    <w:rsid w:val="00AB3D03"/>
    <w:rsid w:val="00AB3D5D"/>
    <w:rsid w:val="00AB3E68"/>
    <w:rsid w:val="00AB40E7"/>
    <w:rsid w:val="00AB4293"/>
    <w:rsid w:val="00AB42F5"/>
    <w:rsid w:val="00AB4322"/>
    <w:rsid w:val="00AB4405"/>
    <w:rsid w:val="00AB44CE"/>
    <w:rsid w:val="00AB4609"/>
    <w:rsid w:val="00AB4724"/>
    <w:rsid w:val="00AB49F4"/>
    <w:rsid w:val="00AB4C05"/>
    <w:rsid w:val="00AB4C09"/>
    <w:rsid w:val="00AB4C46"/>
    <w:rsid w:val="00AB4CE1"/>
    <w:rsid w:val="00AB4D69"/>
    <w:rsid w:val="00AB4E4F"/>
    <w:rsid w:val="00AB4F65"/>
    <w:rsid w:val="00AB50D8"/>
    <w:rsid w:val="00AB5231"/>
    <w:rsid w:val="00AB527E"/>
    <w:rsid w:val="00AB557A"/>
    <w:rsid w:val="00AB5629"/>
    <w:rsid w:val="00AB5840"/>
    <w:rsid w:val="00AB5A75"/>
    <w:rsid w:val="00AB5B37"/>
    <w:rsid w:val="00AB5C5D"/>
    <w:rsid w:val="00AB5DB2"/>
    <w:rsid w:val="00AB5E52"/>
    <w:rsid w:val="00AB5E75"/>
    <w:rsid w:val="00AB5F6A"/>
    <w:rsid w:val="00AB5FB2"/>
    <w:rsid w:val="00AB6014"/>
    <w:rsid w:val="00AB6032"/>
    <w:rsid w:val="00AB61A2"/>
    <w:rsid w:val="00AB6200"/>
    <w:rsid w:val="00AB625F"/>
    <w:rsid w:val="00AB62E7"/>
    <w:rsid w:val="00AB6354"/>
    <w:rsid w:val="00AB64BA"/>
    <w:rsid w:val="00AB65F7"/>
    <w:rsid w:val="00AB66CB"/>
    <w:rsid w:val="00AB67C6"/>
    <w:rsid w:val="00AB69D4"/>
    <w:rsid w:val="00AB6A34"/>
    <w:rsid w:val="00AB6B64"/>
    <w:rsid w:val="00AB6CC2"/>
    <w:rsid w:val="00AB6DF7"/>
    <w:rsid w:val="00AB6EFE"/>
    <w:rsid w:val="00AB7070"/>
    <w:rsid w:val="00AB70B8"/>
    <w:rsid w:val="00AB749D"/>
    <w:rsid w:val="00AB7534"/>
    <w:rsid w:val="00AB75B0"/>
    <w:rsid w:val="00AB760C"/>
    <w:rsid w:val="00AB76B7"/>
    <w:rsid w:val="00AB773A"/>
    <w:rsid w:val="00AB7910"/>
    <w:rsid w:val="00AB7973"/>
    <w:rsid w:val="00AB7985"/>
    <w:rsid w:val="00AB79B3"/>
    <w:rsid w:val="00AB7AD1"/>
    <w:rsid w:val="00AB7C29"/>
    <w:rsid w:val="00AB7C75"/>
    <w:rsid w:val="00AB7CB6"/>
    <w:rsid w:val="00AB7D07"/>
    <w:rsid w:val="00AB7D4B"/>
    <w:rsid w:val="00AB7F27"/>
    <w:rsid w:val="00AB7FF0"/>
    <w:rsid w:val="00AC000D"/>
    <w:rsid w:val="00AC00A1"/>
    <w:rsid w:val="00AC0160"/>
    <w:rsid w:val="00AC02B4"/>
    <w:rsid w:val="00AC062A"/>
    <w:rsid w:val="00AC07E2"/>
    <w:rsid w:val="00AC08A6"/>
    <w:rsid w:val="00AC0C82"/>
    <w:rsid w:val="00AC0D26"/>
    <w:rsid w:val="00AC102E"/>
    <w:rsid w:val="00AC11AE"/>
    <w:rsid w:val="00AC122F"/>
    <w:rsid w:val="00AC1352"/>
    <w:rsid w:val="00AC15CC"/>
    <w:rsid w:val="00AC164C"/>
    <w:rsid w:val="00AC180F"/>
    <w:rsid w:val="00AC19F7"/>
    <w:rsid w:val="00AC1B03"/>
    <w:rsid w:val="00AC1D39"/>
    <w:rsid w:val="00AC1D3B"/>
    <w:rsid w:val="00AC1E5B"/>
    <w:rsid w:val="00AC1ED7"/>
    <w:rsid w:val="00AC1F2E"/>
    <w:rsid w:val="00AC2077"/>
    <w:rsid w:val="00AC2197"/>
    <w:rsid w:val="00AC219E"/>
    <w:rsid w:val="00AC21A7"/>
    <w:rsid w:val="00AC239C"/>
    <w:rsid w:val="00AC23DE"/>
    <w:rsid w:val="00AC27F3"/>
    <w:rsid w:val="00AC2857"/>
    <w:rsid w:val="00AC2B00"/>
    <w:rsid w:val="00AC2B6B"/>
    <w:rsid w:val="00AC2CE2"/>
    <w:rsid w:val="00AC2D5D"/>
    <w:rsid w:val="00AC2D6D"/>
    <w:rsid w:val="00AC2ED7"/>
    <w:rsid w:val="00AC2EDD"/>
    <w:rsid w:val="00AC2EEB"/>
    <w:rsid w:val="00AC2F22"/>
    <w:rsid w:val="00AC2F2A"/>
    <w:rsid w:val="00AC2FF0"/>
    <w:rsid w:val="00AC3091"/>
    <w:rsid w:val="00AC3136"/>
    <w:rsid w:val="00AC319B"/>
    <w:rsid w:val="00AC3217"/>
    <w:rsid w:val="00AC3348"/>
    <w:rsid w:val="00AC33F8"/>
    <w:rsid w:val="00AC34DE"/>
    <w:rsid w:val="00AC34FA"/>
    <w:rsid w:val="00AC3556"/>
    <w:rsid w:val="00AC3561"/>
    <w:rsid w:val="00AC3750"/>
    <w:rsid w:val="00AC3A09"/>
    <w:rsid w:val="00AC3B92"/>
    <w:rsid w:val="00AC3C7A"/>
    <w:rsid w:val="00AC3D7E"/>
    <w:rsid w:val="00AC3E5F"/>
    <w:rsid w:val="00AC3F1B"/>
    <w:rsid w:val="00AC3F29"/>
    <w:rsid w:val="00AC3FF7"/>
    <w:rsid w:val="00AC40A8"/>
    <w:rsid w:val="00AC433A"/>
    <w:rsid w:val="00AC4373"/>
    <w:rsid w:val="00AC44CF"/>
    <w:rsid w:val="00AC4778"/>
    <w:rsid w:val="00AC477B"/>
    <w:rsid w:val="00AC48B5"/>
    <w:rsid w:val="00AC4AF9"/>
    <w:rsid w:val="00AC4B5C"/>
    <w:rsid w:val="00AC4CB4"/>
    <w:rsid w:val="00AC4D83"/>
    <w:rsid w:val="00AC4DD8"/>
    <w:rsid w:val="00AC4E19"/>
    <w:rsid w:val="00AC500A"/>
    <w:rsid w:val="00AC53B5"/>
    <w:rsid w:val="00AC5509"/>
    <w:rsid w:val="00AC55CE"/>
    <w:rsid w:val="00AC5692"/>
    <w:rsid w:val="00AC5842"/>
    <w:rsid w:val="00AC5CCA"/>
    <w:rsid w:val="00AC5CF2"/>
    <w:rsid w:val="00AC5DD7"/>
    <w:rsid w:val="00AC6002"/>
    <w:rsid w:val="00AC604B"/>
    <w:rsid w:val="00AC612F"/>
    <w:rsid w:val="00AC62AC"/>
    <w:rsid w:val="00AC62E5"/>
    <w:rsid w:val="00AC62ED"/>
    <w:rsid w:val="00AC638E"/>
    <w:rsid w:val="00AC64BD"/>
    <w:rsid w:val="00AC661F"/>
    <w:rsid w:val="00AC6629"/>
    <w:rsid w:val="00AC672A"/>
    <w:rsid w:val="00AC6731"/>
    <w:rsid w:val="00AC686A"/>
    <w:rsid w:val="00AC6B40"/>
    <w:rsid w:val="00AC6B72"/>
    <w:rsid w:val="00AC6F50"/>
    <w:rsid w:val="00AC7023"/>
    <w:rsid w:val="00AC70B9"/>
    <w:rsid w:val="00AC70BB"/>
    <w:rsid w:val="00AC70C8"/>
    <w:rsid w:val="00AC71DC"/>
    <w:rsid w:val="00AC7315"/>
    <w:rsid w:val="00AC7348"/>
    <w:rsid w:val="00AC7490"/>
    <w:rsid w:val="00AC74F6"/>
    <w:rsid w:val="00AC75F7"/>
    <w:rsid w:val="00AC75F9"/>
    <w:rsid w:val="00AC7749"/>
    <w:rsid w:val="00AC78A3"/>
    <w:rsid w:val="00AC78D3"/>
    <w:rsid w:val="00AC7962"/>
    <w:rsid w:val="00AC7979"/>
    <w:rsid w:val="00AC7A36"/>
    <w:rsid w:val="00AC7AE1"/>
    <w:rsid w:val="00AC7AE5"/>
    <w:rsid w:val="00AC7B2B"/>
    <w:rsid w:val="00AC7B33"/>
    <w:rsid w:val="00AC7B73"/>
    <w:rsid w:val="00AC7C18"/>
    <w:rsid w:val="00AC7C51"/>
    <w:rsid w:val="00AC7CC6"/>
    <w:rsid w:val="00AC7DCE"/>
    <w:rsid w:val="00AD0141"/>
    <w:rsid w:val="00AD0201"/>
    <w:rsid w:val="00AD027F"/>
    <w:rsid w:val="00AD02AC"/>
    <w:rsid w:val="00AD03A5"/>
    <w:rsid w:val="00AD03CD"/>
    <w:rsid w:val="00AD04C7"/>
    <w:rsid w:val="00AD0548"/>
    <w:rsid w:val="00AD06A5"/>
    <w:rsid w:val="00AD07D8"/>
    <w:rsid w:val="00AD0878"/>
    <w:rsid w:val="00AD08F1"/>
    <w:rsid w:val="00AD0955"/>
    <w:rsid w:val="00AD0A9E"/>
    <w:rsid w:val="00AD0CFB"/>
    <w:rsid w:val="00AD0D0A"/>
    <w:rsid w:val="00AD0DAB"/>
    <w:rsid w:val="00AD0DCB"/>
    <w:rsid w:val="00AD0F3B"/>
    <w:rsid w:val="00AD104D"/>
    <w:rsid w:val="00AD1145"/>
    <w:rsid w:val="00AD133F"/>
    <w:rsid w:val="00AD1409"/>
    <w:rsid w:val="00AD1644"/>
    <w:rsid w:val="00AD16D1"/>
    <w:rsid w:val="00AD172E"/>
    <w:rsid w:val="00AD17E1"/>
    <w:rsid w:val="00AD1A85"/>
    <w:rsid w:val="00AD1AD5"/>
    <w:rsid w:val="00AD1AFB"/>
    <w:rsid w:val="00AD1C44"/>
    <w:rsid w:val="00AD1C5A"/>
    <w:rsid w:val="00AD1D04"/>
    <w:rsid w:val="00AD1D65"/>
    <w:rsid w:val="00AD2030"/>
    <w:rsid w:val="00AD2078"/>
    <w:rsid w:val="00AD20B8"/>
    <w:rsid w:val="00AD20E7"/>
    <w:rsid w:val="00AD2194"/>
    <w:rsid w:val="00AD2279"/>
    <w:rsid w:val="00AD22F7"/>
    <w:rsid w:val="00AD2323"/>
    <w:rsid w:val="00AD238F"/>
    <w:rsid w:val="00AD239D"/>
    <w:rsid w:val="00AD243E"/>
    <w:rsid w:val="00AD24F5"/>
    <w:rsid w:val="00AD2575"/>
    <w:rsid w:val="00AD2584"/>
    <w:rsid w:val="00AD259A"/>
    <w:rsid w:val="00AD25FF"/>
    <w:rsid w:val="00AD26ED"/>
    <w:rsid w:val="00AD2899"/>
    <w:rsid w:val="00AD289D"/>
    <w:rsid w:val="00AD2A84"/>
    <w:rsid w:val="00AD2AEA"/>
    <w:rsid w:val="00AD2B04"/>
    <w:rsid w:val="00AD2BE4"/>
    <w:rsid w:val="00AD2F38"/>
    <w:rsid w:val="00AD2F5E"/>
    <w:rsid w:val="00AD2F91"/>
    <w:rsid w:val="00AD30E2"/>
    <w:rsid w:val="00AD322A"/>
    <w:rsid w:val="00AD3443"/>
    <w:rsid w:val="00AD351B"/>
    <w:rsid w:val="00AD3627"/>
    <w:rsid w:val="00AD3D88"/>
    <w:rsid w:val="00AD3E5F"/>
    <w:rsid w:val="00AD3EF3"/>
    <w:rsid w:val="00AD4057"/>
    <w:rsid w:val="00AD4121"/>
    <w:rsid w:val="00AD4371"/>
    <w:rsid w:val="00AD443D"/>
    <w:rsid w:val="00AD44C1"/>
    <w:rsid w:val="00AD44D6"/>
    <w:rsid w:val="00AD47FE"/>
    <w:rsid w:val="00AD48D5"/>
    <w:rsid w:val="00AD49E0"/>
    <w:rsid w:val="00AD4ACA"/>
    <w:rsid w:val="00AD4BD1"/>
    <w:rsid w:val="00AD4C6A"/>
    <w:rsid w:val="00AD4CB7"/>
    <w:rsid w:val="00AD4CDC"/>
    <w:rsid w:val="00AD4D6B"/>
    <w:rsid w:val="00AD4DA9"/>
    <w:rsid w:val="00AD4DFB"/>
    <w:rsid w:val="00AD4F9C"/>
    <w:rsid w:val="00AD4FB2"/>
    <w:rsid w:val="00AD50F0"/>
    <w:rsid w:val="00AD5151"/>
    <w:rsid w:val="00AD5411"/>
    <w:rsid w:val="00AD54F5"/>
    <w:rsid w:val="00AD55F2"/>
    <w:rsid w:val="00AD56BF"/>
    <w:rsid w:val="00AD59F5"/>
    <w:rsid w:val="00AD5B39"/>
    <w:rsid w:val="00AD5C1E"/>
    <w:rsid w:val="00AD5C7A"/>
    <w:rsid w:val="00AD5C83"/>
    <w:rsid w:val="00AD5D2D"/>
    <w:rsid w:val="00AD5E36"/>
    <w:rsid w:val="00AD5EAC"/>
    <w:rsid w:val="00AD5EC5"/>
    <w:rsid w:val="00AD5EFA"/>
    <w:rsid w:val="00AD5F2C"/>
    <w:rsid w:val="00AD5FF5"/>
    <w:rsid w:val="00AD5FFD"/>
    <w:rsid w:val="00AD6010"/>
    <w:rsid w:val="00AD6110"/>
    <w:rsid w:val="00AD614D"/>
    <w:rsid w:val="00AD6462"/>
    <w:rsid w:val="00AD66BE"/>
    <w:rsid w:val="00AD6801"/>
    <w:rsid w:val="00AD68B6"/>
    <w:rsid w:val="00AD68D0"/>
    <w:rsid w:val="00AD6A55"/>
    <w:rsid w:val="00AD6AA3"/>
    <w:rsid w:val="00AD6AC0"/>
    <w:rsid w:val="00AD6C4B"/>
    <w:rsid w:val="00AD6C96"/>
    <w:rsid w:val="00AD6D47"/>
    <w:rsid w:val="00AD6D71"/>
    <w:rsid w:val="00AD6E1C"/>
    <w:rsid w:val="00AD6EE2"/>
    <w:rsid w:val="00AD6F6E"/>
    <w:rsid w:val="00AD701B"/>
    <w:rsid w:val="00AD7043"/>
    <w:rsid w:val="00AD7118"/>
    <w:rsid w:val="00AD711E"/>
    <w:rsid w:val="00AD723D"/>
    <w:rsid w:val="00AD7248"/>
    <w:rsid w:val="00AD72B7"/>
    <w:rsid w:val="00AD72BC"/>
    <w:rsid w:val="00AD7363"/>
    <w:rsid w:val="00AD73D9"/>
    <w:rsid w:val="00AD7401"/>
    <w:rsid w:val="00AD7416"/>
    <w:rsid w:val="00AD748E"/>
    <w:rsid w:val="00AD7640"/>
    <w:rsid w:val="00AD76FB"/>
    <w:rsid w:val="00AD7C92"/>
    <w:rsid w:val="00AD7CB6"/>
    <w:rsid w:val="00AD7D75"/>
    <w:rsid w:val="00AD7ECF"/>
    <w:rsid w:val="00AE0060"/>
    <w:rsid w:val="00AE0171"/>
    <w:rsid w:val="00AE0176"/>
    <w:rsid w:val="00AE0187"/>
    <w:rsid w:val="00AE0196"/>
    <w:rsid w:val="00AE0225"/>
    <w:rsid w:val="00AE02CC"/>
    <w:rsid w:val="00AE047E"/>
    <w:rsid w:val="00AE0493"/>
    <w:rsid w:val="00AE0665"/>
    <w:rsid w:val="00AE07FE"/>
    <w:rsid w:val="00AE0A2C"/>
    <w:rsid w:val="00AE0C3E"/>
    <w:rsid w:val="00AE0E7F"/>
    <w:rsid w:val="00AE0FB1"/>
    <w:rsid w:val="00AE1000"/>
    <w:rsid w:val="00AE107F"/>
    <w:rsid w:val="00AE123A"/>
    <w:rsid w:val="00AE1245"/>
    <w:rsid w:val="00AE1326"/>
    <w:rsid w:val="00AE13F2"/>
    <w:rsid w:val="00AE1507"/>
    <w:rsid w:val="00AE15A5"/>
    <w:rsid w:val="00AE1689"/>
    <w:rsid w:val="00AE1791"/>
    <w:rsid w:val="00AE1798"/>
    <w:rsid w:val="00AE17DA"/>
    <w:rsid w:val="00AE1BAA"/>
    <w:rsid w:val="00AE1C91"/>
    <w:rsid w:val="00AE1D35"/>
    <w:rsid w:val="00AE1DB3"/>
    <w:rsid w:val="00AE1F94"/>
    <w:rsid w:val="00AE20C4"/>
    <w:rsid w:val="00AE216D"/>
    <w:rsid w:val="00AE21CF"/>
    <w:rsid w:val="00AE2213"/>
    <w:rsid w:val="00AE22D6"/>
    <w:rsid w:val="00AE22E9"/>
    <w:rsid w:val="00AE2362"/>
    <w:rsid w:val="00AE2447"/>
    <w:rsid w:val="00AE2537"/>
    <w:rsid w:val="00AE2546"/>
    <w:rsid w:val="00AE25BD"/>
    <w:rsid w:val="00AE262A"/>
    <w:rsid w:val="00AE272E"/>
    <w:rsid w:val="00AE2838"/>
    <w:rsid w:val="00AE28B3"/>
    <w:rsid w:val="00AE2952"/>
    <w:rsid w:val="00AE2966"/>
    <w:rsid w:val="00AE2AF8"/>
    <w:rsid w:val="00AE2B7A"/>
    <w:rsid w:val="00AE2BDB"/>
    <w:rsid w:val="00AE2C32"/>
    <w:rsid w:val="00AE2CE1"/>
    <w:rsid w:val="00AE2D09"/>
    <w:rsid w:val="00AE2DB1"/>
    <w:rsid w:val="00AE2E62"/>
    <w:rsid w:val="00AE2E89"/>
    <w:rsid w:val="00AE3079"/>
    <w:rsid w:val="00AE33C2"/>
    <w:rsid w:val="00AE3477"/>
    <w:rsid w:val="00AE35D2"/>
    <w:rsid w:val="00AE385F"/>
    <w:rsid w:val="00AE3868"/>
    <w:rsid w:val="00AE38A4"/>
    <w:rsid w:val="00AE38B8"/>
    <w:rsid w:val="00AE38BB"/>
    <w:rsid w:val="00AE39A9"/>
    <w:rsid w:val="00AE3A78"/>
    <w:rsid w:val="00AE3BE5"/>
    <w:rsid w:val="00AE3CBA"/>
    <w:rsid w:val="00AE3CE7"/>
    <w:rsid w:val="00AE3D24"/>
    <w:rsid w:val="00AE3EAF"/>
    <w:rsid w:val="00AE3FAC"/>
    <w:rsid w:val="00AE3FDB"/>
    <w:rsid w:val="00AE4303"/>
    <w:rsid w:val="00AE441B"/>
    <w:rsid w:val="00AE4427"/>
    <w:rsid w:val="00AE4450"/>
    <w:rsid w:val="00AE4680"/>
    <w:rsid w:val="00AE4700"/>
    <w:rsid w:val="00AE4874"/>
    <w:rsid w:val="00AE4A27"/>
    <w:rsid w:val="00AE4B46"/>
    <w:rsid w:val="00AE4C3B"/>
    <w:rsid w:val="00AE4C66"/>
    <w:rsid w:val="00AE4CE4"/>
    <w:rsid w:val="00AE4DBD"/>
    <w:rsid w:val="00AE4EAC"/>
    <w:rsid w:val="00AE4FD5"/>
    <w:rsid w:val="00AE509D"/>
    <w:rsid w:val="00AE5458"/>
    <w:rsid w:val="00AE5555"/>
    <w:rsid w:val="00AE557F"/>
    <w:rsid w:val="00AE590E"/>
    <w:rsid w:val="00AE5953"/>
    <w:rsid w:val="00AE597A"/>
    <w:rsid w:val="00AE59AA"/>
    <w:rsid w:val="00AE5B72"/>
    <w:rsid w:val="00AE5BF9"/>
    <w:rsid w:val="00AE5E8E"/>
    <w:rsid w:val="00AE5F7E"/>
    <w:rsid w:val="00AE60B9"/>
    <w:rsid w:val="00AE60C1"/>
    <w:rsid w:val="00AE61BE"/>
    <w:rsid w:val="00AE61DE"/>
    <w:rsid w:val="00AE636A"/>
    <w:rsid w:val="00AE6517"/>
    <w:rsid w:val="00AE6871"/>
    <w:rsid w:val="00AE68CB"/>
    <w:rsid w:val="00AE6993"/>
    <w:rsid w:val="00AE6B6A"/>
    <w:rsid w:val="00AE6B8F"/>
    <w:rsid w:val="00AE6B95"/>
    <w:rsid w:val="00AE6BE6"/>
    <w:rsid w:val="00AE6C62"/>
    <w:rsid w:val="00AE6C69"/>
    <w:rsid w:val="00AE6D17"/>
    <w:rsid w:val="00AE6D1B"/>
    <w:rsid w:val="00AE6D6D"/>
    <w:rsid w:val="00AE6DA9"/>
    <w:rsid w:val="00AE6E75"/>
    <w:rsid w:val="00AE70AE"/>
    <w:rsid w:val="00AE722B"/>
    <w:rsid w:val="00AE72E8"/>
    <w:rsid w:val="00AE745D"/>
    <w:rsid w:val="00AE7592"/>
    <w:rsid w:val="00AE75A5"/>
    <w:rsid w:val="00AE77FF"/>
    <w:rsid w:val="00AE781A"/>
    <w:rsid w:val="00AE7ADE"/>
    <w:rsid w:val="00AE7B12"/>
    <w:rsid w:val="00AE7C01"/>
    <w:rsid w:val="00AE7C6B"/>
    <w:rsid w:val="00AE7D6D"/>
    <w:rsid w:val="00AE7E5F"/>
    <w:rsid w:val="00AE7F6D"/>
    <w:rsid w:val="00AF0022"/>
    <w:rsid w:val="00AF0137"/>
    <w:rsid w:val="00AF01C4"/>
    <w:rsid w:val="00AF02C0"/>
    <w:rsid w:val="00AF0415"/>
    <w:rsid w:val="00AF04FA"/>
    <w:rsid w:val="00AF0509"/>
    <w:rsid w:val="00AF051B"/>
    <w:rsid w:val="00AF0594"/>
    <w:rsid w:val="00AF0670"/>
    <w:rsid w:val="00AF0705"/>
    <w:rsid w:val="00AF0F95"/>
    <w:rsid w:val="00AF117F"/>
    <w:rsid w:val="00AF11D7"/>
    <w:rsid w:val="00AF11F7"/>
    <w:rsid w:val="00AF162C"/>
    <w:rsid w:val="00AF18ED"/>
    <w:rsid w:val="00AF19F0"/>
    <w:rsid w:val="00AF1A9B"/>
    <w:rsid w:val="00AF1C34"/>
    <w:rsid w:val="00AF1C6F"/>
    <w:rsid w:val="00AF1E9B"/>
    <w:rsid w:val="00AF1ED6"/>
    <w:rsid w:val="00AF1FD2"/>
    <w:rsid w:val="00AF1FF8"/>
    <w:rsid w:val="00AF202A"/>
    <w:rsid w:val="00AF223F"/>
    <w:rsid w:val="00AF2254"/>
    <w:rsid w:val="00AF2450"/>
    <w:rsid w:val="00AF2704"/>
    <w:rsid w:val="00AF276D"/>
    <w:rsid w:val="00AF2827"/>
    <w:rsid w:val="00AF2AB0"/>
    <w:rsid w:val="00AF2C39"/>
    <w:rsid w:val="00AF2E3C"/>
    <w:rsid w:val="00AF2E4E"/>
    <w:rsid w:val="00AF2E7D"/>
    <w:rsid w:val="00AF30C7"/>
    <w:rsid w:val="00AF322E"/>
    <w:rsid w:val="00AF3541"/>
    <w:rsid w:val="00AF3569"/>
    <w:rsid w:val="00AF362E"/>
    <w:rsid w:val="00AF37FB"/>
    <w:rsid w:val="00AF3854"/>
    <w:rsid w:val="00AF3B67"/>
    <w:rsid w:val="00AF3E30"/>
    <w:rsid w:val="00AF3E87"/>
    <w:rsid w:val="00AF3EFB"/>
    <w:rsid w:val="00AF3F43"/>
    <w:rsid w:val="00AF40A4"/>
    <w:rsid w:val="00AF40A6"/>
    <w:rsid w:val="00AF40C2"/>
    <w:rsid w:val="00AF40C7"/>
    <w:rsid w:val="00AF4112"/>
    <w:rsid w:val="00AF42B1"/>
    <w:rsid w:val="00AF4547"/>
    <w:rsid w:val="00AF45BD"/>
    <w:rsid w:val="00AF46F5"/>
    <w:rsid w:val="00AF4804"/>
    <w:rsid w:val="00AF48C3"/>
    <w:rsid w:val="00AF4BA8"/>
    <w:rsid w:val="00AF4D43"/>
    <w:rsid w:val="00AF4D73"/>
    <w:rsid w:val="00AF4ECE"/>
    <w:rsid w:val="00AF4EE2"/>
    <w:rsid w:val="00AF4F27"/>
    <w:rsid w:val="00AF4F74"/>
    <w:rsid w:val="00AF504A"/>
    <w:rsid w:val="00AF5054"/>
    <w:rsid w:val="00AF5068"/>
    <w:rsid w:val="00AF50F3"/>
    <w:rsid w:val="00AF5251"/>
    <w:rsid w:val="00AF5272"/>
    <w:rsid w:val="00AF5277"/>
    <w:rsid w:val="00AF531C"/>
    <w:rsid w:val="00AF53D9"/>
    <w:rsid w:val="00AF548E"/>
    <w:rsid w:val="00AF5536"/>
    <w:rsid w:val="00AF5684"/>
    <w:rsid w:val="00AF5717"/>
    <w:rsid w:val="00AF5743"/>
    <w:rsid w:val="00AF59D9"/>
    <w:rsid w:val="00AF5C96"/>
    <w:rsid w:val="00AF5D17"/>
    <w:rsid w:val="00AF5D75"/>
    <w:rsid w:val="00AF6009"/>
    <w:rsid w:val="00AF6146"/>
    <w:rsid w:val="00AF61DF"/>
    <w:rsid w:val="00AF6227"/>
    <w:rsid w:val="00AF6350"/>
    <w:rsid w:val="00AF639A"/>
    <w:rsid w:val="00AF63D2"/>
    <w:rsid w:val="00AF65BB"/>
    <w:rsid w:val="00AF6684"/>
    <w:rsid w:val="00AF6804"/>
    <w:rsid w:val="00AF687E"/>
    <w:rsid w:val="00AF688B"/>
    <w:rsid w:val="00AF68EF"/>
    <w:rsid w:val="00AF6989"/>
    <w:rsid w:val="00AF6A5C"/>
    <w:rsid w:val="00AF6A7F"/>
    <w:rsid w:val="00AF6ADA"/>
    <w:rsid w:val="00AF6F28"/>
    <w:rsid w:val="00AF709F"/>
    <w:rsid w:val="00AF7150"/>
    <w:rsid w:val="00AF7330"/>
    <w:rsid w:val="00AF7360"/>
    <w:rsid w:val="00AF73EA"/>
    <w:rsid w:val="00AF7591"/>
    <w:rsid w:val="00AF7616"/>
    <w:rsid w:val="00AF7619"/>
    <w:rsid w:val="00AF7636"/>
    <w:rsid w:val="00AF76D1"/>
    <w:rsid w:val="00AF7708"/>
    <w:rsid w:val="00AF792B"/>
    <w:rsid w:val="00AF7A13"/>
    <w:rsid w:val="00AF7A42"/>
    <w:rsid w:val="00AF7A5B"/>
    <w:rsid w:val="00AF7AF6"/>
    <w:rsid w:val="00AF7B77"/>
    <w:rsid w:val="00AF7C4C"/>
    <w:rsid w:val="00AF7C63"/>
    <w:rsid w:val="00AF7D99"/>
    <w:rsid w:val="00B0006C"/>
    <w:rsid w:val="00B00245"/>
    <w:rsid w:val="00B0032F"/>
    <w:rsid w:val="00B0041B"/>
    <w:rsid w:val="00B00486"/>
    <w:rsid w:val="00B004B8"/>
    <w:rsid w:val="00B004DC"/>
    <w:rsid w:val="00B006AD"/>
    <w:rsid w:val="00B00865"/>
    <w:rsid w:val="00B0091D"/>
    <w:rsid w:val="00B009A0"/>
    <w:rsid w:val="00B009B4"/>
    <w:rsid w:val="00B00A17"/>
    <w:rsid w:val="00B00A5A"/>
    <w:rsid w:val="00B00C65"/>
    <w:rsid w:val="00B00C97"/>
    <w:rsid w:val="00B00FB6"/>
    <w:rsid w:val="00B00FDE"/>
    <w:rsid w:val="00B01115"/>
    <w:rsid w:val="00B011C7"/>
    <w:rsid w:val="00B01242"/>
    <w:rsid w:val="00B01248"/>
    <w:rsid w:val="00B012BC"/>
    <w:rsid w:val="00B014FB"/>
    <w:rsid w:val="00B01564"/>
    <w:rsid w:val="00B016A1"/>
    <w:rsid w:val="00B01714"/>
    <w:rsid w:val="00B018D2"/>
    <w:rsid w:val="00B0192F"/>
    <w:rsid w:val="00B019A8"/>
    <w:rsid w:val="00B01C2A"/>
    <w:rsid w:val="00B01C82"/>
    <w:rsid w:val="00B01C9E"/>
    <w:rsid w:val="00B01D13"/>
    <w:rsid w:val="00B01DA2"/>
    <w:rsid w:val="00B02008"/>
    <w:rsid w:val="00B02056"/>
    <w:rsid w:val="00B0207D"/>
    <w:rsid w:val="00B02320"/>
    <w:rsid w:val="00B02375"/>
    <w:rsid w:val="00B0245D"/>
    <w:rsid w:val="00B024DA"/>
    <w:rsid w:val="00B025DE"/>
    <w:rsid w:val="00B02703"/>
    <w:rsid w:val="00B02790"/>
    <w:rsid w:val="00B027CA"/>
    <w:rsid w:val="00B02924"/>
    <w:rsid w:val="00B02BC4"/>
    <w:rsid w:val="00B02CD8"/>
    <w:rsid w:val="00B02D7D"/>
    <w:rsid w:val="00B02EEC"/>
    <w:rsid w:val="00B02F67"/>
    <w:rsid w:val="00B02FB2"/>
    <w:rsid w:val="00B03251"/>
    <w:rsid w:val="00B032A6"/>
    <w:rsid w:val="00B0333F"/>
    <w:rsid w:val="00B03453"/>
    <w:rsid w:val="00B0354F"/>
    <w:rsid w:val="00B03595"/>
    <w:rsid w:val="00B03724"/>
    <w:rsid w:val="00B037EE"/>
    <w:rsid w:val="00B03822"/>
    <w:rsid w:val="00B038D4"/>
    <w:rsid w:val="00B0397B"/>
    <w:rsid w:val="00B03990"/>
    <w:rsid w:val="00B03F20"/>
    <w:rsid w:val="00B03F65"/>
    <w:rsid w:val="00B04271"/>
    <w:rsid w:val="00B042E3"/>
    <w:rsid w:val="00B0431C"/>
    <w:rsid w:val="00B044A9"/>
    <w:rsid w:val="00B04505"/>
    <w:rsid w:val="00B0451E"/>
    <w:rsid w:val="00B04657"/>
    <w:rsid w:val="00B047BE"/>
    <w:rsid w:val="00B048B3"/>
    <w:rsid w:val="00B04C69"/>
    <w:rsid w:val="00B04D22"/>
    <w:rsid w:val="00B04E17"/>
    <w:rsid w:val="00B04FEE"/>
    <w:rsid w:val="00B05056"/>
    <w:rsid w:val="00B05057"/>
    <w:rsid w:val="00B050AB"/>
    <w:rsid w:val="00B050F9"/>
    <w:rsid w:val="00B0511B"/>
    <w:rsid w:val="00B0512E"/>
    <w:rsid w:val="00B0513D"/>
    <w:rsid w:val="00B05211"/>
    <w:rsid w:val="00B05315"/>
    <w:rsid w:val="00B05425"/>
    <w:rsid w:val="00B05552"/>
    <w:rsid w:val="00B05620"/>
    <w:rsid w:val="00B058F2"/>
    <w:rsid w:val="00B0598B"/>
    <w:rsid w:val="00B05A8C"/>
    <w:rsid w:val="00B05CDB"/>
    <w:rsid w:val="00B05D6B"/>
    <w:rsid w:val="00B05DB0"/>
    <w:rsid w:val="00B05DCB"/>
    <w:rsid w:val="00B05E93"/>
    <w:rsid w:val="00B0601F"/>
    <w:rsid w:val="00B06183"/>
    <w:rsid w:val="00B06223"/>
    <w:rsid w:val="00B063B7"/>
    <w:rsid w:val="00B06670"/>
    <w:rsid w:val="00B06777"/>
    <w:rsid w:val="00B067EE"/>
    <w:rsid w:val="00B0687B"/>
    <w:rsid w:val="00B06988"/>
    <w:rsid w:val="00B06A18"/>
    <w:rsid w:val="00B06C13"/>
    <w:rsid w:val="00B06C23"/>
    <w:rsid w:val="00B06E64"/>
    <w:rsid w:val="00B0700B"/>
    <w:rsid w:val="00B070F6"/>
    <w:rsid w:val="00B07246"/>
    <w:rsid w:val="00B07436"/>
    <w:rsid w:val="00B07610"/>
    <w:rsid w:val="00B07878"/>
    <w:rsid w:val="00B07A6B"/>
    <w:rsid w:val="00B07BAB"/>
    <w:rsid w:val="00B07C4C"/>
    <w:rsid w:val="00B07C8E"/>
    <w:rsid w:val="00B07CB1"/>
    <w:rsid w:val="00B07F2B"/>
    <w:rsid w:val="00B07F5B"/>
    <w:rsid w:val="00B07FB7"/>
    <w:rsid w:val="00B10119"/>
    <w:rsid w:val="00B1019F"/>
    <w:rsid w:val="00B1024E"/>
    <w:rsid w:val="00B102C2"/>
    <w:rsid w:val="00B102C3"/>
    <w:rsid w:val="00B10325"/>
    <w:rsid w:val="00B1045F"/>
    <w:rsid w:val="00B1048C"/>
    <w:rsid w:val="00B104E0"/>
    <w:rsid w:val="00B106A3"/>
    <w:rsid w:val="00B1074D"/>
    <w:rsid w:val="00B10948"/>
    <w:rsid w:val="00B109C7"/>
    <w:rsid w:val="00B10B36"/>
    <w:rsid w:val="00B10B3C"/>
    <w:rsid w:val="00B10D21"/>
    <w:rsid w:val="00B10E0E"/>
    <w:rsid w:val="00B110D2"/>
    <w:rsid w:val="00B11351"/>
    <w:rsid w:val="00B11378"/>
    <w:rsid w:val="00B113BA"/>
    <w:rsid w:val="00B113F2"/>
    <w:rsid w:val="00B11488"/>
    <w:rsid w:val="00B11561"/>
    <w:rsid w:val="00B1168C"/>
    <w:rsid w:val="00B11718"/>
    <w:rsid w:val="00B118CD"/>
    <w:rsid w:val="00B11965"/>
    <w:rsid w:val="00B119CE"/>
    <w:rsid w:val="00B11B5E"/>
    <w:rsid w:val="00B11C2A"/>
    <w:rsid w:val="00B11C76"/>
    <w:rsid w:val="00B11D82"/>
    <w:rsid w:val="00B122DA"/>
    <w:rsid w:val="00B122F4"/>
    <w:rsid w:val="00B1234E"/>
    <w:rsid w:val="00B124A8"/>
    <w:rsid w:val="00B125E0"/>
    <w:rsid w:val="00B127BF"/>
    <w:rsid w:val="00B127F7"/>
    <w:rsid w:val="00B1298B"/>
    <w:rsid w:val="00B12B8F"/>
    <w:rsid w:val="00B12BD3"/>
    <w:rsid w:val="00B12C5F"/>
    <w:rsid w:val="00B12CF9"/>
    <w:rsid w:val="00B13078"/>
    <w:rsid w:val="00B13266"/>
    <w:rsid w:val="00B132BD"/>
    <w:rsid w:val="00B13305"/>
    <w:rsid w:val="00B133C3"/>
    <w:rsid w:val="00B1349C"/>
    <w:rsid w:val="00B135B4"/>
    <w:rsid w:val="00B135EB"/>
    <w:rsid w:val="00B13614"/>
    <w:rsid w:val="00B13741"/>
    <w:rsid w:val="00B138FA"/>
    <w:rsid w:val="00B13921"/>
    <w:rsid w:val="00B13966"/>
    <w:rsid w:val="00B1399C"/>
    <w:rsid w:val="00B13B69"/>
    <w:rsid w:val="00B13C25"/>
    <w:rsid w:val="00B13CC3"/>
    <w:rsid w:val="00B13D24"/>
    <w:rsid w:val="00B13D93"/>
    <w:rsid w:val="00B13DC2"/>
    <w:rsid w:val="00B13E91"/>
    <w:rsid w:val="00B13F1C"/>
    <w:rsid w:val="00B14000"/>
    <w:rsid w:val="00B140D4"/>
    <w:rsid w:val="00B1416D"/>
    <w:rsid w:val="00B141A2"/>
    <w:rsid w:val="00B14304"/>
    <w:rsid w:val="00B1435D"/>
    <w:rsid w:val="00B14412"/>
    <w:rsid w:val="00B14585"/>
    <w:rsid w:val="00B145A7"/>
    <w:rsid w:val="00B14B5C"/>
    <w:rsid w:val="00B14CA6"/>
    <w:rsid w:val="00B14F12"/>
    <w:rsid w:val="00B14F1D"/>
    <w:rsid w:val="00B1510E"/>
    <w:rsid w:val="00B151EB"/>
    <w:rsid w:val="00B15236"/>
    <w:rsid w:val="00B152C3"/>
    <w:rsid w:val="00B152CE"/>
    <w:rsid w:val="00B152D7"/>
    <w:rsid w:val="00B154AD"/>
    <w:rsid w:val="00B154BE"/>
    <w:rsid w:val="00B15618"/>
    <w:rsid w:val="00B156DB"/>
    <w:rsid w:val="00B157B7"/>
    <w:rsid w:val="00B15A1D"/>
    <w:rsid w:val="00B15AD0"/>
    <w:rsid w:val="00B15B13"/>
    <w:rsid w:val="00B15BAA"/>
    <w:rsid w:val="00B15C0C"/>
    <w:rsid w:val="00B15C0E"/>
    <w:rsid w:val="00B15CA8"/>
    <w:rsid w:val="00B15E05"/>
    <w:rsid w:val="00B15EED"/>
    <w:rsid w:val="00B15F5D"/>
    <w:rsid w:val="00B16078"/>
    <w:rsid w:val="00B16160"/>
    <w:rsid w:val="00B16248"/>
    <w:rsid w:val="00B1627A"/>
    <w:rsid w:val="00B162E2"/>
    <w:rsid w:val="00B16410"/>
    <w:rsid w:val="00B165E2"/>
    <w:rsid w:val="00B16674"/>
    <w:rsid w:val="00B167CD"/>
    <w:rsid w:val="00B1695C"/>
    <w:rsid w:val="00B16A3E"/>
    <w:rsid w:val="00B16AF1"/>
    <w:rsid w:val="00B16D89"/>
    <w:rsid w:val="00B16DB2"/>
    <w:rsid w:val="00B170E8"/>
    <w:rsid w:val="00B170E9"/>
    <w:rsid w:val="00B1715B"/>
    <w:rsid w:val="00B1729A"/>
    <w:rsid w:val="00B173CC"/>
    <w:rsid w:val="00B1750F"/>
    <w:rsid w:val="00B177E1"/>
    <w:rsid w:val="00B17A36"/>
    <w:rsid w:val="00B17A6E"/>
    <w:rsid w:val="00B17B10"/>
    <w:rsid w:val="00B17B56"/>
    <w:rsid w:val="00B17CD7"/>
    <w:rsid w:val="00B17D58"/>
    <w:rsid w:val="00B17D91"/>
    <w:rsid w:val="00B17EA5"/>
    <w:rsid w:val="00B17FEC"/>
    <w:rsid w:val="00B20096"/>
    <w:rsid w:val="00B2014A"/>
    <w:rsid w:val="00B201A6"/>
    <w:rsid w:val="00B201DF"/>
    <w:rsid w:val="00B20290"/>
    <w:rsid w:val="00B206C8"/>
    <w:rsid w:val="00B209A3"/>
    <w:rsid w:val="00B20BB9"/>
    <w:rsid w:val="00B20C88"/>
    <w:rsid w:val="00B20D05"/>
    <w:rsid w:val="00B20E08"/>
    <w:rsid w:val="00B20E1B"/>
    <w:rsid w:val="00B20EE2"/>
    <w:rsid w:val="00B20F62"/>
    <w:rsid w:val="00B21153"/>
    <w:rsid w:val="00B21358"/>
    <w:rsid w:val="00B21363"/>
    <w:rsid w:val="00B213D1"/>
    <w:rsid w:val="00B2143A"/>
    <w:rsid w:val="00B214DF"/>
    <w:rsid w:val="00B2153A"/>
    <w:rsid w:val="00B2168D"/>
    <w:rsid w:val="00B217F0"/>
    <w:rsid w:val="00B217F4"/>
    <w:rsid w:val="00B2180A"/>
    <w:rsid w:val="00B218E7"/>
    <w:rsid w:val="00B21977"/>
    <w:rsid w:val="00B219D9"/>
    <w:rsid w:val="00B21A2B"/>
    <w:rsid w:val="00B21A3B"/>
    <w:rsid w:val="00B21A81"/>
    <w:rsid w:val="00B21AAE"/>
    <w:rsid w:val="00B21B7B"/>
    <w:rsid w:val="00B21D3D"/>
    <w:rsid w:val="00B21EFD"/>
    <w:rsid w:val="00B22028"/>
    <w:rsid w:val="00B2202B"/>
    <w:rsid w:val="00B2225A"/>
    <w:rsid w:val="00B228E6"/>
    <w:rsid w:val="00B22978"/>
    <w:rsid w:val="00B22996"/>
    <w:rsid w:val="00B22A6B"/>
    <w:rsid w:val="00B22AAC"/>
    <w:rsid w:val="00B22AE2"/>
    <w:rsid w:val="00B22BEE"/>
    <w:rsid w:val="00B22C8B"/>
    <w:rsid w:val="00B22CB8"/>
    <w:rsid w:val="00B22D0C"/>
    <w:rsid w:val="00B22D95"/>
    <w:rsid w:val="00B22F5C"/>
    <w:rsid w:val="00B23013"/>
    <w:rsid w:val="00B230A4"/>
    <w:rsid w:val="00B230BB"/>
    <w:rsid w:val="00B232DA"/>
    <w:rsid w:val="00B2334E"/>
    <w:rsid w:val="00B2345A"/>
    <w:rsid w:val="00B23561"/>
    <w:rsid w:val="00B23751"/>
    <w:rsid w:val="00B23BEF"/>
    <w:rsid w:val="00B23DEB"/>
    <w:rsid w:val="00B24075"/>
    <w:rsid w:val="00B240AE"/>
    <w:rsid w:val="00B2412D"/>
    <w:rsid w:val="00B243F4"/>
    <w:rsid w:val="00B2458C"/>
    <w:rsid w:val="00B24892"/>
    <w:rsid w:val="00B24B56"/>
    <w:rsid w:val="00B24C34"/>
    <w:rsid w:val="00B24CD0"/>
    <w:rsid w:val="00B24D13"/>
    <w:rsid w:val="00B24D27"/>
    <w:rsid w:val="00B24FAE"/>
    <w:rsid w:val="00B24FC7"/>
    <w:rsid w:val="00B2504D"/>
    <w:rsid w:val="00B250B2"/>
    <w:rsid w:val="00B251B8"/>
    <w:rsid w:val="00B252B5"/>
    <w:rsid w:val="00B25570"/>
    <w:rsid w:val="00B257D2"/>
    <w:rsid w:val="00B258F1"/>
    <w:rsid w:val="00B25967"/>
    <w:rsid w:val="00B25988"/>
    <w:rsid w:val="00B25A0B"/>
    <w:rsid w:val="00B25C1D"/>
    <w:rsid w:val="00B25E48"/>
    <w:rsid w:val="00B25E49"/>
    <w:rsid w:val="00B26002"/>
    <w:rsid w:val="00B26005"/>
    <w:rsid w:val="00B2600E"/>
    <w:rsid w:val="00B26019"/>
    <w:rsid w:val="00B26082"/>
    <w:rsid w:val="00B2612D"/>
    <w:rsid w:val="00B261CA"/>
    <w:rsid w:val="00B26228"/>
    <w:rsid w:val="00B263E1"/>
    <w:rsid w:val="00B2641D"/>
    <w:rsid w:val="00B2653C"/>
    <w:rsid w:val="00B265CE"/>
    <w:rsid w:val="00B265F2"/>
    <w:rsid w:val="00B26650"/>
    <w:rsid w:val="00B26780"/>
    <w:rsid w:val="00B26887"/>
    <w:rsid w:val="00B26DBE"/>
    <w:rsid w:val="00B26F39"/>
    <w:rsid w:val="00B27153"/>
    <w:rsid w:val="00B271AA"/>
    <w:rsid w:val="00B272C4"/>
    <w:rsid w:val="00B27300"/>
    <w:rsid w:val="00B2755D"/>
    <w:rsid w:val="00B27776"/>
    <w:rsid w:val="00B2779E"/>
    <w:rsid w:val="00B279D0"/>
    <w:rsid w:val="00B27CDF"/>
    <w:rsid w:val="00B27D2E"/>
    <w:rsid w:val="00B27DE2"/>
    <w:rsid w:val="00B27E92"/>
    <w:rsid w:val="00B27F74"/>
    <w:rsid w:val="00B27FF4"/>
    <w:rsid w:val="00B30057"/>
    <w:rsid w:val="00B300CB"/>
    <w:rsid w:val="00B300E7"/>
    <w:rsid w:val="00B30124"/>
    <w:rsid w:val="00B30183"/>
    <w:rsid w:val="00B301B9"/>
    <w:rsid w:val="00B301BC"/>
    <w:rsid w:val="00B30239"/>
    <w:rsid w:val="00B303BE"/>
    <w:rsid w:val="00B30442"/>
    <w:rsid w:val="00B304FD"/>
    <w:rsid w:val="00B305E0"/>
    <w:rsid w:val="00B305EA"/>
    <w:rsid w:val="00B30787"/>
    <w:rsid w:val="00B307B3"/>
    <w:rsid w:val="00B307C5"/>
    <w:rsid w:val="00B30896"/>
    <w:rsid w:val="00B308B9"/>
    <w:rsid w:val="00B309A0"/>
    <w:rsid w:val="00B30A5E"/>
    <w:rsid w:val="00B31047"/>
    <w:rsid w:val="00B3108F"/>
    <w:rsid w:val="00B310B5"/>
    <w:rsid w:val="00B3138A"/>
    <w:rsid w:val="00B313DF"/>
    <w:rsid w:val="00B316CD"/>
    <w:rsid w:val="00B3184E"/>
    <w:rsid w:val="00B31BBF"/>
    <w:rsid w:val="00B31C48"/>
    <w:rsid w:val="00B31E1E"/>
    <w:rsid w:val="00B31FDF"/>
    <w:rsid w:val="00B3225B"/>
    <w:rsid w:val="00B327DD"/>
    <w:rsid w:val="00B32B98"/>
    <w:rsid w:val="00B32C9B"/>
    <w:rsid w:val="00B32DDB"/>
    <w:rsid w:val="00B32E6B"/>
    <w:rsid w:val="00B32EA5"/>
    <w:rsid w:val="00B33171"/>
    <w:rsid w:val="00B3329B"/>
    <w:rsid w:val="00B332B0"/>
    <w:rsid w:val="00B332D9"/>
    <w:rsid w:val="00B33421"/>
    <w:rsid w:val="00B334BD"/>
    <w:rsid w:val="00B33559"/>
    <w:rsid w:val="00B335CB"/>
    <w:rsid w:val="00B33702"/>
    <w:rsid w:val="00B3375B"/>
    <w:rsid w:val="00B33763"/>
    <w:rsid w:val="00B33942"/>
    <w:rsid w:val="00B33ACD"/>
    <w:rsid w:val="00B33B1E"/>
    <w:rsid w:val="00B33BBA"/>
    <w:rsid w:val="00B33D05"/>
    <w:rsid w:val="00B33D86"/>
    <w:rsid w:val="00B33DB3"/>
    <w:rsid w:val="00B33E9F"/>
    <w:rsid w:val="00B33ED8"/>
    <w:rsid w:val="00B33EFC"/>
    <w:rsid w:val="00B33F19"/>
    <w:rsid w:val="00B33FE3"/>
    <w:rsid w:val="00B341BE"/>
    <w:rsid w:val="00B342D0"/>
    <w:rsid w:val="00B34358"/>
    <w:rsid w:val="00B34602"/>
    <w:rsid w:val="00B34607"/>
    <w:rsid w:val="00B3469C"/>
    <w:rsid w:val="00B34714"/>
    <w:rsid w:val="00B34865"/>
    <w:rsid w:val="00B34929"/>
    <w:rsid w:val="00B3493F"/>
    <w:rsid w:val="00B34AE7"/>
    <w:rsid w:val="00B34B0B"/>
    <w:rsid w:val="00B34BA3"/>
    <w:rsid w:val="00B34CC0"/>
    <w:rsid w:val="00B34EA0"/>
    <w:rsid w:val="00B34EB1"/>
    <w:rsid w:val="00B35095"/>
    <w:rsid w:val="00B35118"/>
    <w:rsid w:val="00B35196"/>
    <w:rsid w:val="00B351CC"/>
    <w:rsid w:val="00B35268"/>
    <w:rsid w:val="00B3536E"/>
    <w:rsid w:val="00B353C4"/>
    <w:rsid w:val="00B353E7"/>
    <w:rsid w:val="00B3558E"/>
    <w:rsid w:val="00B35591"/>
    <w:rsid w:val="00B35598"/>
    <w:rsid w:val="00B355D1"/>
    <w:rsid w:val="00B356BC"/>
    <w:rsid w:val="00B35964"/>
    <w:rsid w:val="00B35A60"/>
    <w:rsid w:val="00B35DE2"/>
    <w:rsid w:val="00B35ED8"/>
    <w:rsid w:val="00B35F9E"/>
    <w:rsid w:val="00B3602C"/>
    <w:rsid w:val="00B36075"/>
    <w:rsid w:val="00B360D0"/>
    <w:rsid w:val="00B360D4"/>
    <w:rsid w:val="00B36196"/>
    <w:rsid w:val="00B36494"/>
    <w:rsid w:val="00B364B0"/>
    <w:rsid w:val="00B364F1"/>
    <w:rsid w:val="00B366BA"/>
    <w:rsid w:val="00B366CE"/>
    <w:rsid w:val="00B366E3"/>
    <w:rsid w:val="00B36725"/>
    <w:rsid w:val="00B36824"/>
    <w:rsid w:val="00B36914"/>
    <w:rsid w:val="00B369AA"/>
    <w:rsid w:val="00B369D8"/>
    <w:rsid w:val="00B36CC7"/>
    <w:rsid w:val="00B36D07"/>
    <w:rsid w:val="00B36D98"/>
    <w:rsid w:val="00B36EDA"/>
    <w:rsid w:val="00B37051"/>
    <w:rsid w:val="00B371D9"/>
    <w:rsid w:val="00B3745F"/>
    <w:rsid w:val="00B37535"/>
    <w:rsid w:val="00B3760D"/>
    <w:rsid w:val="00B377F2"/>
    <w:rsid w:val="00B37998"/>
    <w:rsid w:val="00B379E4"/>
    <w:rsid w:val="00B379FD"/>
    <w:rsid w:val="00B37B7A"/>
    <w:rsid w:val="00B37D9C"/>
    <w:rsid w:val="00B37DF4"/>
    <w:rsid w:val="00B37EDB"/>
    <w:rsid w:val="00B37F88"/>
    <w:rsid w:val="00B37F9C"/>
    <w:rsid w:val="00B40155"/>
    <w:rsid w:val="00B401FF"/>
    <w:rsid w:val="00B40290"/>
    <w:rsid w:val="00B4033F"/>
    <w:rsid w:val="00B403C2"/>
    <w:rsid w:val="00B4050A"/>
    <w:rsid w:val="00B40673"/>
    <w:rsid w:val="00B406C8"/>
    <w:rsid w:val="00B40810"/>
    <w:rsid w:val="00B408FD"/>
    <w:rsid w:val="00B40AB5"/>
    <w:rsid w:val="00B40BC7"/>
    <w:rsid w:val="00B40C47"/>
    <w:rsid w:val="00B40D57"/>
    <w:rsid w:val="00B40D77"/>
    <w:rsid w:val="00B412C9"/>
    <w:rsid w:val="00B41307"/>
    <w:rsid w:val="00B41317"/>
    <w:rsid w:val="00B4136D"/>
    <w:rsid w:val="00B4142D"/>
    <w:rsid w:val="00B416A9"/>
    <w:rsid w:val="00B41867"/>
    <w:rsid w:val="00B418CE"/>
    <w:rsid w:val="00B41906"/>
    <w:rsid w:val="00B41996"/>
    <w:rsid w:val="00B41AED"/>
    <w:rsid w:val="00B41C98"/>
    <w:rsid w:val="00B41D5F"/>
    <w:rsid w:val="00B41DC6"/>
    <w:rsid w:val="00B41DC8"/>
    <w:rsid w:val="00B41DD5"/>
    <w:rsid w:val="00B41E99"/>
    <w:rsid w:val="00B41F58"/>
    <w:rsid w:val="00B42163"/>
    <w:rsid w:val="00B4216F"/>
    <w:rsid w:val="00B421EE"/>
    <w:rsid w:val="00B42245"/>
    <w:rsid w:val="00B42260"/>
    <w:rsid w:val="00B423B2"/>
    <w:rsid w:val="00B42470"/>
    <w:rsid w:val="00B4251E"/>
    <w:rsid w:val="00B425E6"/>
    <w:rsid w:val="00B42757"/>
    <w:rsid w:val="00B428D0"/>
    <w:rsid w:val="00B42CC2"/>
    <w:rsid w:val="00B42D12"/>
    <w:rsid w:val="00B42D9B"/>
    <w:rsid w:val="00B42E82"/>
    <w:rsid w:val="00B42F78"/>
    <w:rsid w:val="00B42FED"/>
    <w:rsid w:val="00B4317C"/>
    <w:rsid w:val="00B431C0"/>
    <w:rsid w:val="00B4327E"/>
    <w:rsid w:val="00B4329D"/>
    <w:rsid w:val="00B432F2"/>
    <w:rsid w:val="00B43418"/>
    <w:rsid w:val="00B4358C"/>
    <w:rsid w:val="00B43822"/>
    <w:rsid w:val="00B43833"/>
    <w:rsid w:val="00B4386E"/>
    <w:rsid w:val="00B4388E"/>
    <w:rsid w:val="00B438D9"/>
    <w:rsid w:val="00B43A86"/>
    <w:rsid w:val="00B43C66"/>
    <w:rsid w:val="00B43E6D"/>
    <w:rsid w:val="00B43E9B"/>
    <w:rsid w:val="00B44192"/>
    <w:rsid w:val="00B44225"/>
    <w:rsid w:val="00B442DC"/>
    <w:rsid w:val="00B4437C"/>
    <w:rsid w:val="00B44384"/>
    <w:rsid w:val="00B4452E"/>
    <w:rsid w:val="00B44548"/>
    <w:rsid w:val="00B44660"/>
    <w:rsid w:val="00B44684"/>
    <w:rsid w:val="00B447C9"/>
    <w:rsid w:val="00B448F6"/>
    <w:rsid w:val="00B449A6"/>
    <w:rsid w:val="00B44A10"/>
    <w:rsid w:val="00B44D4E"/>
    <w:rsid w:val="00B45006"/>
    <w:rsid w:val="00B45064"/>
    <w:rsid w:val="00B4507F"/>
    <w:rsid w:val="00B451CA"/>
    <w:rsid w:val="00B45242"/>
    <w:rsid w:val="00B453E4"/>
    <w:rsid w:val="00B45416"/>
    <w:rsid w:val="00B4541B"/>
    <w:rsid w:val="00B454DE"/>
    <w:rsid w:val="00B455C7"/>
    <w:rsid w:val="00B45640"/>
    <w:rsid w:val="00B456FB"/>
    <w:rsid w:val="00B45703"/>
    <w:rsid w:val="00B457F9"/>
    <w:rsid w:val="00B45846"/>
    <w:rsid w:val="00B45B60"/>
    <w:rsid w:val="00B45BC0"/>
    <w:rsid w:val="00B45CBA"/>
    <w:rsid w:val="00B45E97"/>
    <w:rsid w:val="00B45F9C"/>
    <w:rsid w:val="00B45FD8"/>
    <w:rsid w:val="00B4600C"/>
    <w:rsid w:val="00B46011"/>
    <w:rsid w:val="00B461EC"/>
    <w:rsid w:val="00B4620A"/>
    <w:rsid w:val="00B4626F"/>
    <w:rsid w:val="00B46442"/>
    <w:rsid w:val="00B4656A"/>
    <w:rsid w:val="00B4658C"/>
    <w:rsid w:val="00B46805"/>
    <w:rsid w:val="00B469EA"/>
    <w:rsid w:val="00B46C05"/>
    <w:rsid w:val="00B46C37"/>
    <w:rsid w:val="00B46CE3"/>
    <w:rsid w:val="00B46CFE"/>
    <w:rsid w:val="00B46D9D"/>
    <w:rsid w:val="00B46FD7"/>
    <w:rsid w:val="00B470F7"/>
    <w:rsid w:val="00B472C0"/>
    <w:rsid w:val="00B472FA"/>
    <w:rsid w:val="00B4730E"/>
    <w:rsid w:val="00B47314"/>
    <w:rsid w:val="00B474DC"/>
    <w:rsid w:val="00B476F1"/>
    <w:rsid w:val="00B47803"/>
    <w:rsid w:val="00B478BC"/>
    <w:rsid w:val="00B47A04"/>
    <w:rsid w:val="00B47BB7"/>
    <w:rsid w:val="00B47D4F"/>
    <w:rsid w:val="00B47DAD"/>
    <w:rsid w:val="00B47F11"/>
    <w:rsid w:val="00B5023C"/>
    <w:rsid w:val="00B5024F"/>
    <w:rsid w:val="00B50312"/>
    <w:rsid w:val="00B50467"/>
    <w:rsid w:val="00B504CA"/>
    <w:rsid w:val="00B505BA"/>
    <w:rsid w:val="00B50700"/>
    <w:rsid w:val="00B507D8"/>
    <w:rsid w:val="00B5087F"/>
    <w:rsid w:val="00B50911"/>
    <w:rsid w:val="00B50946"/>
    <w:rsid w:val="00B50CEC"/>
    <w:rsid w:val="00B50EB9"/>
    <w:rsid w:val="00B50F2A"/>
    <w:rsid w:val="00B51151"/>
    <w:rsid w:val="00B51167"/>
    <w:rsid w:val="00B51289"/>
    <w:rsid w:val="00B51511"/>
    <w:rsid w:val="00B51515"/>
    <w:rsid w:val="00B51AF2"/>
    <w:rsid w:val="00B51B8D"/>
    <w:rsid w:val="00B51BF2"/>
    <w:rsid w:val="00B51D61"/>
    <w:rsid w:val="00B51EDC"/>
    <w:rsid w:val="00B520B6"/>
    <w:rsid w:val="00B520FE"/>
    <w:rsid w:val="00B5216F"/>
    <w:rsid w:val="00B5224D"/>
    <w:rsid w:val="00B52298"/>
    <w:rsid w:val="00B523A9"/>
    <w:rsid w:val="00B524AC"/>
    <w:rsid w:val="00B5252C"/>
    <w:rsid w:val="00B52668"/>
    <w:rsid w:val="00B52939"/>
    <w:rsid w:val="00B5294F"/>
    <w:rsid w:val="00B529CF"/>
    <w:rsid w:val="00B52B6F"/>
    <w:rsid w:val="00B52C37"/>
    <w:rsid w:val="00B52C4F"/>
    <w:rsid w:val="00B52D07"/>
    <w:rsid w:val="00B52D48"/>
    <w:rsid w:val="00B52D4B"/>
    <w:rsid w:val="00B5323B"/>
    <w:rsid w:val="00B53274"/>
    <w:rsid w:val="00B53483"/>
    <w:rsid w:val="00B535BA"/>
    <w:rsid w:val="00B53765"/>
    <w:rsid w:val="00B5377F"/>
    <w:rsid w:val="00B5389A"/>
    <w:rsid w:val="00B53921"/>
    <w:rsid w:val="00B53945"/>
    <w:rsid w:val="00B539E0"/>
    <w:rsid w:val="00B53B18"/>
    <w:rsid w:val="00B53B99"/>
    <w:rsid w:val="00B53B9E"/>
    <w:rsid w:val="00B53C12"/>
    <w:rsid w:val="00B53C28"/>
    <w:rsid w:val="00B53C31"/>
    <w:rsid w:val="00B53C48"/>
    <w:rsid w:val="00B53D48"/>
    <w:rsid w:val="00B53DA5"/>
    <w:rsid w:val="00B54087"/>
    <w:rsid w:val="00B54095"/>
    <w:rsid w:val="00B54104"/>
    <w:rsid w:val="00B541FF"/>
    <w:rsid w:val="00B54368"/>
    <w:rsid w:val="00B545F7"/>
    <w:rsid w:val="00B5476E"/>
    <w:rsid w:val="00B54B48"/>
    <w:rsid w:val="00B54C41"/>
    <w:rsid w:val="00B54D2A"/>
    <w:rsid w:val="00B54D45"/>
    <w:rsid w:val="00B54D69"/>
    <w:rsid w:val="00B54DBE"/>
    <w:rsid w:val="00B5504D"/>
    <w:rsid w:val="00B551DA"/>
    <w:rsid w:val="00B5537D"/>
    <w:rsid w:val="00B55467"/>
    <w:rsid w:val="00B5549F"/>
    <w:rsid w:val="00B554B7"/>
    <w:rsid w:val="00B554E7"/>
    <w:rsid w:val="00B5559E"/>
    <w:rsid w:val="00B55747"/>
    <w:rsid w:val="00B558FE"/>
    <w:rsid w:val="00B55AF7"/>
    <w:rsid w:val="00B55C1E"/>
    <w:rsid w:val="00B55D3C"/>
    <w:rsid w:val="00B55DD4"/>
    <w:rsid w:val="00B55ECB"/>
    <w:rsid w:val="00B55F81"/>
    <w:rsid w:val="00B56121"/>
    <w:rsid w:val="00B56187"/>
    <w:rsid w:val="00B56417"/>
    <w:rsid w:val="00B564A5"/>
    <w:rsid w:val="00B564DB"/>
    <w:rsid w:val="00B5657B"/>
    <w:rsid w:val="00B567D9"/>
    <w:rsid w:val="00B56814"/>
    <w:rsid w:val="00B56892"/>
    <w:rsid w:val="00B56977"/>
    <w:rsid w:val="00B56A51"/>
    <w:rsid w:val="00B56ABE"/>
    <w:rsid w:val="00B56D2E"/>
    <w:rsid w:val="00B56D83"/>
    <w:rsid w:val="00B56E5A"/>
    <w:rsid w:val="00B56EF5"/>
    <w:rsid w:val="00B56F09"/>
    <w:rsid w:val="00B56F72"/>
    <w:rsid w:val="00B56F83"/>
    <w:rsid w:val="00B5710D"/>
    <w:rsid w:val="00B572F0"/>
    <w:rsid w:val="00B57381"/>
    <w:rsid w:val="00B573DA"/>
    <w:rsid w:val="00B57769"/>
    <w:rsid w:val="00B5779A"/>
    <w:rsid w:val="00B5780D"/>
    <w:rsid w:val="00B5786A"/>
    <w:rsid w:val="00B578EC"/>
    <w:rsid w:val="00B579CD"/>
    <w:rsid w:val="00B57B00"/>
    <w:rsid w:val="00B57B1D"/>
    <w:rsid w:val="00B57B90"/>
    <w:rsid w:val="00B57BDF"/>
    <w:rsid w:val="00B57C0C"/>
    <w:rsid w:val="00B57D1C"/>
    <w:rsid w:val="00B57E61"/>
    <w:rsid w:val="00B57EFB"/>
    <w:rsid w:val="00B600F2"/>
    <w:rsid w:val="00B60101"/>
    <w:rsid w:val="00B60233"/>
    <w:rsid w:val="00B6023A"/>
    <w:rsid w:val="00B60254"/>
    <w:rsid w:val="00B60372"/>
    <w:rsid w:val="00B6055D"/>
    <w:rsid w:val="00B605C5"/>
    <w:rsid w:val="00B607E9"/>
    <w:rsid w:val="00B60917"/>
    <w:rsid w:val="00B60A41"/>
    <w:rsid w:val="00B60AB9"/>
    <w:rsid w:val="00B60B57"/>
    <w:rsid w:val="00B60C72"/>
    <w:rsid w:val="00B60C7B"/>
    <w:rsid w:val="00B60DF7"/>
    <w:rsid w:val="00B60E19"/>
    <w:rsid w:val="00B60E68"/>
    <w:rsid w:val="00B60FAA"/>
    <w:rsid w:val="00B61246"/>
    <w:rsid w:val="00B612F7"/>
    <w:rsid w:val="00B6134D"/>
    <w:rsid w:val="00B6146A"/>
    <w:rsid w:val="00B615A2"/>
    <w:rsid w:val="00B61600"/>
    <w:rsid w:val="00B616F1"/>
    <w:rsid w:val="00B61706"/>
    <w:rsid w:val="00B61859"/>
    <w:rsid w:val="00B61885"/>
    <w:rsid w:val="00B618ED"/>
    <w:rsid w:val="00B61BEA"/>
    <w:rsid w:val="00B61BEC"/>
    <w:rsid w:val="00B61D91"/>
    <w:rsid w:val="00B61D92"/>
    <w:rsid w:val="00B61EBF"/>
    <w:rsid w:val="00B62045"/>
    <w:rsid w:val="00B62055"/>
    <w:rsid w:val="00B62150"/>
    <w:rsid w:val="00B621BA"/>
    <w:rsid w:val="00B6222F"/>
    <w:rsid w:val="00B622D0"/>
    <w:rsid w:val="00B622F7"/>
    <w:rsid w:val="00B6232F"/>
    <w:rsid w:val="00B62420"/>
    <w:rsid w:val="00B626A4"/>
    <w:rsid w:val="00B62755"/>
    <w:rsid w:val="00B62759"/>
    <w:rsid w:val="00B6280B"/>
    <w:rsid w:val="00B62833"/>
    <w:rsid w:val="00B62856"/>
    <w:rsid w:val="00B62885"/>
    <w:rsid w:val="00B629DA"/>
    <w:rsid w:val="00B62C1A"/>
    <w:rsid w:val="00B62CCB"/>
    <w:rsid w:val="00B62E4F"/>
    <w:rsid w:val="00B630EC"/>
    <w:rsid w:val="00B63264"/>
    <w:rsid w:val="00B63350"/>
    <w:rsid w:val="00B634AC"/>
    <w:rsid w:val="00B634C5"/>
    <w:rsid w:val="00B634CC"/>
    <w:rsid w:val="00B6358C"/>
    <w:rsid w:val="00B6364B"/>
    <w:rsid w:val="00B63682"/>
    <w:rsid w:val="00B636C8"/>
    <w:rsid w:val="00B6372E"/>
    <w:rsid w:val="00B63741"/>
    <w:rsid w:val="00B637DE"/>
    <w:rsid w:val="00B63B09"/>
    <w:rsid w:val="00B63B84"/>
    <w:rsid w:val="00B63B86"/>
    <w:rsid w:val="00B63C28"/>
    <w:rsid w:val="00B63DF8"/>
    <w:rsid w:val="00B63E6A"/>
    <w:rsid w:val="00B63ECC"/>
    <w:rsid w:val="00B63ED8"/>
    <w:rsid w:val="00B63FBB"/>
    <w:rsid w:val="00B63FD8"/>
    <w:rsid w:val="00B641EB"/>
    <w:rsid w:val="00B6425E"/>
    <w:rsid w:val="00B642EC"/>
    <w:rsid w:val="00B643DC"/>
    <w:rsid w:val="00B645F1"/>
    <w:rsid w:val="00B6475B"/>
    <w:rsid w:val="00B647CC"/>
    <w:rsid w:val="00B647F2"/>
    <w:rsid w:val="00B64847"/>
    <w:rsid w:val="00B648B3"/>
    <w:rsid w:val="00B648C3"/>
    <w:rsid w:val="00B64921"/>
    <w:rsid w:val="00B6498B"/>
    <w:rsid w:val="00B649CE"/>
    <w:rsid w:val="00B64A22"/>
    <w:rsid w:val="00B64A32"/>
    <w:rsid w:val="00B64E41"/>
    <w:rsid w:val="00B64EB8"/>
    <w:rsid w:val="00B64ECA"/>
    <w:rsid w:val="00B64F31"/>
    <w:rsid w:val="00B650BE"/>
    <w:rsid w:val="00B65166"/>
    <w:rsid w:val="00B651B6"/>
    <w:rsid w:val="00B65209"/>
    <w:rsid w:val="00B6557A"/>
    <w:rsid w:val="00B655C9"/>
    <w:rsid w:val="00B6567D"/>
    <w:rsid w:val="00B65752"/>
    <w:rsid w:val="00B65815"/>
    <w:rsid w:val="00B6584C"/>
    <w:rsid w:val="00B65966"/>
    <w:rsid w:val="00B659C3"/>
    <w:rsid w:val="00B65B02"/>
    <w:rsid w:val="00B65B5E"/>
    <w:rsid w:val="00B65F80"/>
    <w:rsid w:val="00B65FD9"/>
    <w:rsid w:val="00B65FE2"/>
    <w:rsid w:val="00B66143"/>
    <w:rsid w:val="00B66609"/>
    <w:rsid w:val="00B6670B"/>
    <w:rsid w:val="00B66758"/>
    <w:rsid w:val="00B667AB"/>
    <w:rsid w:val="00B667CF"/>
    <w:rsid w:val="00B6695D"/>
    <w:rsid w:val="00B669D5"/>
    <w:rsid w:val="00B66A96"/>
    <w:rsid w:val="00B66A9A"/>
    <w:rsid w:val="00B66D87"/>
    <w:rsid w:val="00B66D8E"/>
    <w:rsid w:val="00B66FED"/>
    <w:rsid w:val="00B671C2"/>
    <w:rsid w:val="00B6720C"/>
    <w:rsid w:val="00B67300"/>
    <w:rsid w:val="00B67313"/>
    <w:rsid w:val="00B673A4"/>
    <w:rsid w:val="00B673D5"/>
    <w:rsid w:val="00B6740D"/>
    <w:rsid w:val="00B67410"/>
    <w:rsid w:val="00B674C7"/>
    <w:rsid w:val="00B676E1"/>
    <w:rsid w:val="00B677D5"/>
    <w:rsid w:val="00B67822"/>
    <w:rsid w:val="00B679F1"/>
    <w:rsid w:val="00B67B96"/>
    <w:rsid w:val="00B67BC6"/>
    <w:rsid w:val="00B67BCA"/>
    <w:rsid w:val="00B67C92"/>
    <w:rsid w:val="00B67CF1"/>
    <w:rsid w:val="00B67D80"/>
    <w:rsid w:val="00B67DE5"/>
    <w:rsid w:val="00B67EC5"/>
    <w:rsid w:val="00B67F3F"/>
    <w:rsid w:val="00B67FAB"/>
    <w:rsid w:val="00B70040"/>
    <w:rsid w:val="00B7005F"/>
    <w:rsid w:val="00B70072"/>
    <w:rsid w:val="00B70114"/>
    <w:rsid w:val="00B701DE"/>
    <w:rsid w:val="00B702F8"/>
    <w:rsid w:val="00B7031B"/>
    <w:rsid w:val="00B7069F"/>
    <w:rsid w:val="00B70A93"/>
    <w:rsid w:val="00B70D9C"/>
    <w:rsid w:val="00B70E0E"/>
    <w:rsid w:val="00B70EC3"/>
    <w:rsid w:val="00B71013"/>
    <w:rsid w:val="00B71034"/>
    <w:rsid w:val="00B710EC"/>
    <w:rsid w:val="00B7110F"/>
    <w:rsid w:val="00B7119D"/>
    <w:rsid w:val="00B71298"/>
    <w:rsid w:val="00B712B5"/>
    <w:rsid w:val="00B712E7"/>
    <w:rsid w:val="00B71309"/>
    <w:rsid w:val="00B717DE"/>
    <w:rsid w:val="00B717E4"/>
    <w:rsid w:val="00B7180F"/>
    <w:rsid w:val="00B71819"/>
    <w:rsid w:val="00B71874"/>
    <w:rsid w:val="00B71A0C"/>
    <w:rsid w:val="00B71BA5"/>
    <w:rsid w:val="00B71BDD"/>
    <w:rsid w:val="00B71D69"/>
    <w:rsid w:val="00B71DA9"/>
    <w:rsid w:val="00B71ECD"/>
    <w:rsid w:val="00B720DF"/>
    <w:rsid w:val="00B7215F"/>
    <w:rsid w:val="00B721AC"/>
    <w:rsid w:val="00B721D2"/>
    <w:rsid w:val="00B72235"/>
    <w:rsid w:val="00B722D8"/>
    <w:rsid w:val="00B723D3"/>
    <w:rsid w:val="00B72456"/>
    <w:rsid w:val="00B7253B"/>
    <w:rsid w:val="00B725AB"/>
    <w:rsid w:val="00B725D5"/>
    <w:rsid w:val="00B726EA"/>
    <w:rsid w:val="00B7271F"/>
    <w:rsid w:val="00B7291B"/>
    <w:rsid w:val="00B7299D"/>
    <w:rsid w:val="00B72AA3"/>
    <w:rsid w:val="00B72B33"/>
    <w:rsid w:val="00B72C8E"/>
    <w:rsid w:val="00B72D60"/>
    <w:rsid w:val="00B72D94"/>
    <w:rsid w:val="00B72E12"/>
    <w:rsid w:val="00B72E56"/>
    <w:rsid w:val="00B7300B"/>
    <w:rsid w:val="00B73014"/>
    <w:rsid w:val="00B73030"/>
    <w:rsid w:val="00B73059"/>
    <w:rsid w:val="00B73260"/>
    <w:rsid w:val="00B733A1"/>
    <w:rsid w:val="00B73556"/>
    <w:rsid w:val="00B73630"/>
    <w:rsid w:val="00B736AA"/>
    <w:rsid w:val="00B736EE"/>
    <w:rsid w:val="00B73835"/>
    <w:rsid w:val="00B73A98"/>
    <w:rsid w:val="00B73BEF"/>
    <w:rsid w:val="00B73C66"/>
    <w:rsid w:val="00B73D27"/>
    <w:rsid w:val="00B73D2C"/>
    <w:rsid w:val="00B73ED7"/>
    <w:rsid w:val="00B73F53"/>
    <w:rsid w:val="00B73FF1"/>
    <w:rsid w:val="00B73FF7"/>
    <w:rsid w:val="00B7400D"/>
    <w:rsid w:val="00B74047"/>
    <w:rsid w:val="00B74093"/>
    <w:rsid w:val="00B7425B"/>
    <w:rsid w:val="00B743F0"/>
    <w:rsid w:val="00B745EA"/>
    <w:rsid w:val="00B74B9A"/>
    <w:rsid w:val="00B74DDD"/>
    <w:rsid w:val="00B74DDE"/>
    <w:rsid w:val="00B74EB0"/>
    <w:rsid w:val="00B74F62"/>
    <w:rsid w:val="00B75097"/>
    <w:rsid w:val="00B750F0"/>
    <w:rsid w:val="00B752BC"/>
    <w:rsid w:val="00B753CC"/>
    <w:rsid w:val="00B75570"/>
    <w:rsid w:val="00B7567D"/>
    <w:rsid w:val="00B75C74"/>
    <w:rsid w:val="00B7600D"/>
    <w:rsid w:val="00B7615F"/>
    <w:rsid w:val="00B761D3"/>
    <w:rsid w:val="00B761F1"/>
    <w:rsid w:val="00B7622A"/>
    <w:rsid w:val="00B76336"/>
    <w:rsid w:val="00B765BE"/>
    <w:rsid w:val="00B769B2"/>
    <w:rsid w:val="00B769C5"/>
    <w:rsid w:val="00B769F3"/>
    <w:rsid w:val="00B76AA8"/>
    <w:rsid w:val="00B76CDA"/>
    <w:rsid w:val="00B76E42"/>
    <w:rsid w:val="00B76F44"/>
    <w:rsid w:val="00B76FCF"/>
    <w:rsid w:val="00B77115"/>
    <w:rsid w:val="00B771B6"/>
    <w:rsid w:val="00B771D5"/>
    <w:rsid w:val="00B77254"/>
    <w:rsid w:val="00B773F4"/>
    <w:rsid w:val="00B77543"/>
    <w:rsid w:val="00B7766B"/>
    <w:rsid w:val="00B77789"/>
    <w:rsid w:val="00B77993"/>
    <w:rsid w:val="00B77996"/>
    <w:rsid w:val="00B77AE9"/>
    <w:rsid w:val="00B77B3E"/>
    <w:rsid w:val="00B77B9D"/>
    <w:rsid w:val="00B77CCF"/>
    <w:rsid w:val="00B77D33"/>
    <w:rsid w:val="00B77DC5"/>
    <w:rsid w:val="00B80085"/>
    <w:rsid w:val="00B800A6"/>
    <w:rsid w:val="00B8019F"/>
    <w:rsid w:val="00B803D3"/>
    <w:rsid w:val="00B807BC"/>
    <w:rsid w:val="00B808F3"/>
    <w:rsid w:val="00B8092A"/>
    <w:rsid w:val="00B809DC"/>
    <w:rsid w:val="00B80A30"/>
    <w:rsid w:val="00B80A67"/>
    <w:rsid w:val="00B80B6D"/>
    <w:rsid w:val="00B80C6A"/>
    <w:rsid w:val="00B80F21"/>
    <w:rsid w:val="00B80F48"/>
    <w:rsid w:val="00B81024"/>
    <w:rsid w:val="00B81026"/>
    <w:rsid w:val="00B8103D"/>
    <w:rsid w:val="00B81166"/>
    <w:rsid w:val="00B8121A"/>
    <w:rsid w:val="00B8122D"/>
    <w:rsid w:val="00B812DE"/>
    <w:rsid w:val="00B813A6"/>
    <w:rsid w:val="00B81481"/>
    <w:rsid w:val="00B81600"/>
    <w:rsid w:val="00B8164C"/>
    <w:rsid w:val="00B81688"/>
    <w:rsid w:val="00B818E5"/>
    <w:rsid w:val="00B81925"/>
    <w:rsid w:val="00B81973"/>
    <w:rsid w:val="00B819D1"/>
    <w:rsid w:val="00B819E7"/>
    <w:rsid w:val="00B81C52"/>
    <w:rsid w:val="00B81DD6"/>
    <w:rsid w:val="00B81E25"/>
    <w:rsid w:val="00B81EE6"/>
    <w:rsid w:val="00B81FF0"/>
    <w:rsid w:val="00B820B7"/>
    <w:rsid w:val="00B82423"/>
    <w:rsid w:val="00B8242B"/>
    <w:rsid w:val="00B825A3"/>
    <w:rsid w:val="00B826E0"/>
    <w:rsid w:val="00B8278B"/>
    <w:rsid w:val="00B82BE6"/>
    <w:rsid w:val="00B82EF3"/>
    <w:rsid w:val="00B8301C"/>
    <w:rsid w:val="00B83054"/>
    <w:rsid w:val="00B830E2"/>
    <w:rsid w:val="00B83191"/>
    <w:rsid w:val="00B83492"/>
    <w:rsid w:val="00B83612"/>
    <w:rsid w:val="00B83A69"/>
    <w:rsid w:val="00B83CC0"/>
    <w:rsid w:val="00B83CDC"/>
    <w:rsid w:val="00B83F06"/>
    <w:rsid w:val="00B83F3A"/>
    <w:rsid w:val="00B83FB8"/>
    <w:rsid w:val="00B83FE4"/>
    <w:rsid w:val="00B84031"/>
    <w:rsid w:val="00B84214"/>
    <w:rsid w:val="00B84418"/>
    <w:rsid w:val="00B844E6"/>
    <w:rsid w:val="00B849CC"/>
    <w:rsid w:val="00B84A27"/>
    <w:rsid w:val="00B84A9C"/>
    <w:rsid w:val="00B84AD9"/>
    <w:rsid w:val="00B84B11"/>
    <w:rsid w:val="00B84D34"/>
    <w:rsid w:val="00B84E7D"/>
    <w:rsid w:val="00B84F8F"/>
    <w:rsid w:val="00B84FFC"/>
    <w:rsid w:val="00B85199"/>
    <w:rsid w:val="00B851A6"/>
    <w:rsid w:val="00B85325"/>
    <w:rsid w:val="00B85412"/>
    <w:rsid w:val="00B854FE"/>
    <w:rsid w:val="00B8562E"/>
    <w:rsid w:val="00B856F3"/>
    <w:rsid w:val="00B85757"/>
    <w:rsid w:val="00B85A08"/>
    <w:rsid w:val="00B85B25"/>
    <w:rsid w:val="00B85E40"/>
    <w:rsid w:val="00B85EA4"/>
    <w:rsid w:val="00B85EBD"/>
    <w:rsid w:val="00B85EC9"/>
    <w:rsid w:val="00B85FD9"/>
    <w:rsid w:val="00B8605B"/>
    <w:rsid w:val="00B8609C"/>
    <w:rsid w:val="00B862E3"/>
    <w:rsid w:val="00B86323"/>
    <w:rsid w:val="00B86424"/>
    <w:rsid w:val="00B864F9"/>
    <w:rsid w:val="00B865CD"/>
    <w:rsid w:val="00B86844"/>
    <w:rsid w:val="00B86853"/>
    <w:rsid w:val="00B86881"/>
    <w:rsid w:val="00B86A0F"/>
    <w:rsid w:val="00B86A15"/>
    <w:rsid w:val="00B86AD9"/>
    <w:rsid w:val="00B86B53"/>
    <w:rsid w:val="00B86F16"/>
    <w:rsid w:val="00B87002"/>
    <w:rsid w:val="00B87120"/>
    <w:rsid w:val="00B87229"/>
    <w:rsid w:val="00B873F8"/>
    <w:rsid w:val="00B87536"/>
    <w:rsid w:val="00B876BD"/>
    <w:rsid w:val="00B87C21"/>
    <w:rsid w:val="00B87D1C"/>
    <w:rsid w:val="00B87D5F"/>
    <w:rsid w:val="00B87DD9"/>
    <w:rsid w:val="00B87DFE"/>
    <w:rsid w:val="00B87F48"/>
    <w:rsid w:val="00B87FB4"/>
    <w:rsid w:val="00B87FBA"/>
    <w:rsid w:val="00B9035E"/>
    <w:rsid w:val="00B90407"/>
    <w:rsid w:val="00B9047C"/>
    <w:rsid w:val="00B904D5"/>
    <w:rsid w:val="00B905B0"/>
    <w:rsid w:val="00B90A1B"/>
    <w:rsid w:val="00B90AAC"/>
    <w:rsid w:val="00B90C85"/>
    <w:rsid w:val="00B90E64"/>
    <w:rsid w:val="00B90FDA"/>
    <w:rsid w:val="00B910BE"/>
    <w:rsid w:val="00B91128"/>
    <w:rsid w:val="00B91137"/>
    <w:rsid w:val="00B91302"/>
    <w:rsid w:val="00B9140C"/>
    <w:rsid w:val="00B91453"/>
    <w:rsid w:val="00B9149D"/>
    <w:rsid w:val="00B914F4"/>
    <w:rsid w:val="00B915EE"/>
    <w:rsid w:val="00B91763"/>
    <w:rsid w:val="00B917C4"/>
    <w:rsid w:val="00B91A64"/>
    <w:rsid w:val="00B91B01"/>
    <w:rsid w:val="00B91B0C"/>
    <w:rsid w:val="00B91B4C"/>
    <w:rsid w:val="00B91BDF"/>
    <w:rsid w:val="00B91C19"/>
    <w:rsid w:val="00B91C32"/>
    <w:rsid w:val="00B91E01"/>
    <w:rsid w:val="00B91EAD"/>
    <w:rsid w:val="00B91EFD"/>
    <w:rsid w:val="00B91F51"/>
    <w:rsid w:val="00B920A7"/>
    <w:rsid w:val="00B92307"/>
    <w:rsid w:val="00B92379"/>
    <w:rsid w:val="00B92581"/>
    <w:rsid w:val="00B92AEB"/>
    <w:rsid w:val="00B92B86"/>
    <w:rsid w:val="00B92C8C"/>
    <w:rsid w:val="00B92CC9"/>
    <w:rsid w:val="00B92DC8"/>
    <w:rsid w:val="00B92ECB"/>
    <w:rsid w:val="00B92F48"/>
    <w:rsid w:val="00B92F96"/>
    <w:rsid w:val="00B93267"/>
    <w:rsid w:val="00B93381"/>
    <w:rsid w:val="00B93406"/>
    <w:rsid w:val="00B934F4"/>
    <w:rsid w:val="00B93587"/>
    <w:rsid w:val="00B93589"/>
    <w:rsid w:val="00B93692"/>
    <w:rsid w:val="00B936F6"/>
    <w:rsid w:val="00B93764"/>
    <w:rsid w:val="00B9384C"/>
    <w:rsid w:val="00B938B0"/>
    <w:rsid w:val="00B9395F"/>
    <w:rsid w:val="00B93977"/>
    <w:rsid w:val="00B93A80"/>
    <w:rsid w:val="00B93BD4"/>
    <w:rsid w:val="00B93CC8"/>
    <w:rsid w:val="00B93E49"/>
    <w:rsid w:val="00B942A7"/>
    <w:rsid w:val="00B94308"/>
    <w:rsid w:val="00B9440A"/>
    <w:rsid w:val="00B9479B"/>
    <w:rsid w:val="00B94891"/>
    <w:rsid w:val="00B94A35"/>
    <w:rsid w:val="00B94A87"/>
    <w:rsid w:val="00B94AD6"/>
    <w:rsid w:val="00B94B4C"/>
    <w:rsid w:val="00B94BDF"/>
    <w:rsid w:val="00B94C57"/>
    <w:rsid w:val="00B94D16"/>
    <w:rsid w:val="00B94DD0"/>
    <w:rsid w:val="00B94E4E"/>
    <w:rsid w:val="00B94E76"/>
    <w:rsid w:val="00B94F27"/>
    <w:rsid w:val="00B94FAF"/>
    <w:rsid w:val="00B94FB8"/>
    <w:rsid w:val="00B95013"/>
    <w:rsid w:val="00B95135"/>
    <w:rsid w:val="00B952A7"/>
    <w:rsid w:val="00B9534A"/>
    <w:rsid w:val="00B954AB"/>
    <w:rsid w:val="00B9552B"/>
    <w:rsid w:val="00B955DA"/>
    <w:rsid w:val="00B958DD"/>
    <w:rsid w:val="00B95907"/>
    <w:rsid w:val="00B95988"/>
    <w:rsid w:val="00B95E47"/>
    <w:rsid w:val="00B96059"/>
    <w:rsid w:val="00B96092"/>
    <w:rsid w:val="00B961D7"/>
    <w:rsid w:val="00B9624E"/>
    <w:rsid w:val="00B962EB"/>
    <w:rsid w:val="00B9637E"/>
    <w:rsid w:val="00B96443"/>
    <w:rsid w:val="00B96784"/>
    <w:rsid w:val="00B96850"/>
    <w:rsid w:val="00B968C5"/>
    <w:rsid w:val="00B96925"/>
    <w:rsid w:val="00B96A89"/>
    <w:rsid w:val="00B96C7A"/>
    <w:rsid w:val="00B96C89"/>
    <w:rsid w:val="00B97077"/>
    <w:rsid w:val="00B9721F"/>
    <w:rsid w:val="00B9727C"/>
    <w:rsid w:val="00B973B2"/>
    <w:rsid w:val="00B97475"/>
    <w:rsid w:val="00B974D0"/>
    <w:rsid w:val="00B975E5"/>
    <w:rsid w:val="00B97969"/>
    <w:rsid w:val="00B979CD"/>
    <w:rsid w:val="00B97A02"/>
    <w:rsid w:val="00B97A64"/>
    <w:rsid w:val="00B97A91"/>
    <w:rsid w:val="00B97CC7"/>
    <w:rsid w:val="00B97DDE"/>
    <w:rsid w:val="00B97FD6"/>
    <w:rsid w:val="00BA0289"/>
    <w:rsid w:val="00BA03C7"/>
    <w:rsid w:val="00BA046F"/>
    <w:rsid w:val="00BA0697"/>
    <w:rsid w:val="00BA06BE"/>
    <w:rsid w:val="00BA0A3C"/>
    <w:rsid w:val="00BA0E75"/>
    <w:rsid w:val="00BA0F18"/>
    <w:rsid w:val="00BA1102"/>
    <w:rsid w:val="00BA1133"/>
    <w:rsid w:val="00BA11E7"/>
    <w:rsid w:val="00BA1210"/>
    <w:rsid w:val="00BA12A9"/>
    <w:rsid w:val="00BA12BC"/>
    <w:rsid w:val="00BA12D6"/>
    <w:rsid w:val="00BA1329"/>
    <w:rsid w:val="00BA1493"/>
    <w:rsid w:val="00BA15E1"/>
    <w:rsid w:val="00BA15FC"/>
    <w:rsid w:val="00BA1731"/>
    <w:rsid w:val="00BA17A7"/>
    <w:rsid w:val="00BA1843"/>
    <w:rsid w:val="00BA1C0C"/>
    <w:rsid w:val="00BA1DCA"/>
    <w:rsid w:val="00BA1E45"/>
    <w:rsid w:val="00BA1E80"/>
    <w:rsid w:val="00BA1F11"/>
    <w:rsid w:val="00BA1F81"/>
    <w:rsid w:val="00BA203C"/>
    <w:rsid w:val="00BA2112"/>
    <w:rsid w:val="00BA22B0"/>
    <w:rsid w:val="00BA2367"/>
    <w:rsid w:val="00BA241A"/>
    <w:rsid w:val="00BA2723"/>
    <w:rsid w:val="00BA276D"/>
    <w:rsid w:val="00BA2876"/>
    <w:rsid w:val="00BA2972"/>
    <w:rsid w:val="00BA29E9"/>
    <w:rsid w:val="00BA2C62"/>
    <w:rsid w:val="00BA2CEF"/>
    <w:rsid w:val="00BA2D2A"/>
    <w:rsid w:val="00BA2D42"/>
    <w:rsid w:val="00BA2D49"/>
    <w:rsid w:val="00BA2D93"/>
    <w:rsid w:val="00BA2D9D"/>
    <w:rsid w:val="00BA2F81"/>
    <w:rsid w:val="00BA2FDF"/>
    <w:rsid w:val="00BA3021"/>
    <w:rsid w:val="00BA3102"/>
    <w:rsid w:val="00BA3126"/>
    <w:rsid w:val="00BA31D3"/>
    <w:rsid w:val="00BA31EC"/>
    <w:rsid w:val="00BA3619"/>
    <w:rsid w:val="00BA36FA"/>
    <w:rsid w:val="00BA37D7"/>
    <w:rsid w:val="00BA398B"/>
    <w:rsid w:val="00BA39DF"/>
    <w:rsid w:val="00BA3AF4"/>
    <w:rsid w:val="00BA3B66"/>
    <w:rsid w:val="00BA3C49"/>
    <w:rsid w:val="00BA3C55"/>
    <w:rsid w:val="00BA3D63"/>
    <w:rsid w:val="00BA3FBC"/>
    <w:rsid w:val="00BA4191"/>
    <w:rsid w:val="00BA426B"/>
    <w:rsid w:val="00BA4453"/>
    <w:rsid w:val="00BA46F0"/>
    <w:rsid w:val="00BA46FF"/>
    <w:rsid w:val="00BA478E"/>
    <w:rsid w:val="00BA48A7"/>
    <w:rsid w:val="00BA4A98"/>
    <w:rsid w:val="00BA4ABC"/>
    <w:rsid w:val="00BA4C89"/>
    <w:rsid w:val="00BA4D03"/>
    <w:rsid w:val="00BA4D3E"/>
    <w:rsid w:val="00BA4E59"/>
    <w:rsid w:val="00BA4E5F"/>
    <w:rsid w:val="00BA509D"/>
    <w:rsid w:val="00BA5104"/>
    <w:rsid w:val="00BA5278"/>
    <w:rsid w:val="00BA53AC"/>
    <w:rsid w:val="00BA53EC"/>
    <w:rsid w:val="00BA5482"/>
    <w:rsid w:val="00BA560B"/>
    <w:rsid w:val="00BA561B"/>
    <w:rsid w:val="00BA59D3"/>
    <w:rsid w:val="00BA5A8B"/>
    <w:rsid w:val="00BA5B3A"/>
    <w:rsid w:val="00BA5D9F"/>
    <w:rsid w:val="00BA5E05"/>
    <w:rsid w:val="00BA5EA0"/>
    <w:rsid w:val="00BA5F29"/>
    <w:rsid w:val="00BA5F51"/>
    <w:rsid w:val="00BA610C"/>
    <w:rsid w:val="00BA6155"/>
    <w:rsid w:val="00BA61EA"/>
    <w:rsid w:val="00BA63A5"/>
    <w:rsid w:val="00BA6453"/>
    <w:rsid w:val="00BA6479"/>
    <w:rsid w:val="00BA663D"/>
    <w:rsid w:val="00BA6680"/>
    <w:rsid w:val="00BA6706"/>
    <w:rsid w:val="00BA6722"/>
    <w:rsid w:val="00BA67C4"/>
    <w:rsid w:val="00BA6C4A"/>
    <w:rsid w:val="00BA6E83"/>
    <w:rsid w:val="00BA6F7D"/>
    <w:rsid w:val="00BA7076"/>
    <w:rsid w:val="00BA71C9"/>
    <w:rsid w:val="00BA738D"/>
    <w:rsid w:val="00BA73A4"/>
    <w:rsid w:val="00BA7544"/>
    <w:rsid w:val="00BA758C"/>
    <w:rsid w:val="00BA77B4"/>
    <w:rsid w:val="00BA7837"/>
    <w:rsid w:val="00BA78A0"/>
    <w:rsid w:val="00BA7A3A"/>
    <w:rsid w:val="00BA7B49"/>
    <w:rsid w:val="00BA7C2C"/>
    <w:rsid w:val="00BA7D9E"/>
    <w:rsid w:val="00BA7ED8"/>
    <w:rsid w:val="00BB0198"/>
    <w:rsid w:val="00BB0368"/>
    <w:rsid w:val="00BB04AD"/>
    <w:rsid w:val="00BB04C2"/>
    <w:rsid w:val="00BB04C8"/>
    <w:rsid w:val="00BB0581"/>
    <w:rsid w:val="00BB0985"/>
    <w:rsid w:val="00BB0AB0"/>
    <w:rsid w:val="00BB0D17"/>
    <w:rsid w:val="00BB0D64"/>
    <w:rsid w:val="00BB0DA9"/>
    <w:rsid w:val="00BB118D"/>
    <w:rsid w:val="00BB11CB"/>
    <w:rsid w:val="00BB1292"/>
    <w:rsid w:val="00BB131A"/>
    <w:rsid w:val="00BB135E"/>
    <w:rsid w:val="00BB145C"/>
    <w:rsid w:val="00BB148E"/>
    <w:rsid w:val="00BB178C"/>
    <w:rsid w:val="00BB179D"/>
    <w:rsid w:val="00BB18B3"/>
    <w:rsid w:val="00BB19E7"/>
    <w:rsid w:val="00BB1BB2"/>
    <w:rsid w:val="00BB1C3E"/>
    <w:rsid w:val="00BB1C5B"/>
    <w:rsid w:val="00BB1D22"/>
    <w:rsid w:val="00BB1D99"/>
    <w:rsid w:val="00BB1D9B"/>
    <w:rsid w:val="00BB1DD3"/>
    <w:rsid w:val="00BB1E95"/>
    <w:rsid w:val="00BB1EB7"/>
    <w:rsid w:val="00BB2001"/>
    <w:rsid w:val="00BB2035"/>
    <w:rsid w:val="00BB2111"/>
    <w:rsid w:val="00BB2452"/>
    <w:rsid w:val="00BB2478"/>
    <w:rsid w:val="00BB2483"/>
    <w:rsid w:val="00BB248B"/>
    <w:rsid w:val="00BB26F5"/>
    <w:rsid w:val="00BB276C"/>
    <w:rsid w:val="00BB27F5"/>
    <w:rsid w:val="00BB282F"/>
    <w:rsid w:val="00BB2941"/>
    <w:rsid w:val="00BB29E0"/>
    <w:rsid w:val="00BB2A3C"/>
    <w:rsid w:val="00BB2B7F"/>
    <w:rsid w:val="00BB2BC5"/>
    <w:rsid w:val="00BB2CBF"/>
    <w:rsid w:val="00BB2D24"/>
    <w:rsid w:val="00BB2DEA"/>
    <w:rsid w:val="00BB2F34"/>
    <w:rsid w:val="00BB3037"/>
    <w:rsid w:val="00BB30BA"/>
    <w:rsid w:val="00BB30E5"/>
    <w:rsid w:val="00BB3390"/>
    <w:rsid w:val="00BB35FF"/>
    <w:rsid w:val="00BB3698"/>
    <w:rsid w:val="00BB379E"/>
    <w:rsid w:val="00BB3809"/>
    <w:rsid w:val="00BB38CA"/>
    <w:rsid w:val="00BB390B"/>
    <w:rsid w:val="00BB3A02"/>
    <w:rsid w:val="00BB3B04"/>
    <w:rsid w:val="00BB3BA4"/>
    <w:rsid w:val="00BB3C90"/>
    <w:rsid w:val="00BB3D76"/>
    <w:rsid w:val="00BB3D9E"/>
    <w:rsid w:val="00BB3F0A"/>
    <w:rsid w:val="00BB41C6"/>
    <w:rsid w:val="00BB4215"/>
    <w:rsid w:val="00BB4277"/>
    <w:rsid w:val="00BB442B"/>
    <w:rsid w:val="00BB449D"/>
    <w:rsid w:val="00BB450C"/>
    <w:rsid w:val="00BB453C"/>
    <w:rsid w:val="00BB462C"/>
    <w:rsid w:val="00BB4667"/>
    <w:rsid w:val="00BB46AA"/>
    <w:rsid w:val="00BB4816"/>
    <w:rsid w:val="00BB4978"/>
    <w:rsid w:val="00BB4B36"/>
    <w:rsid w:val="00BB4BCD"/>
    <w:rsid w:val="00BB4C59"/>
    <w:rsid w:val="00BB4E2C"/>
    <w:rsid w:val="00BB4E54"/>
    <w:rsid w:val="00BB501C"/>
    <w:rsid w:val="00BB50EB"/>
    <w:rsid w:val="00BB50FE"/>
    <w:rsid w:val="00BB5253"/>
    <w:rsid w:val="00BB52D9"/>
    <w:rsid w:val="00BB5332"/>
    <w:rsid w:val="00BB5627"/>
    <w:rsid w:val="00BB5659"/>
    <w:rsid w:val="00BB56D1"/>
    <w:rsid w:val="00BB5C64"/>
    <w:rsid w:val="00BB5C7D"/>
    <w:rsid w:val="00BB5C96"/>
    <w:rsid w:val="00BB5D34"/>
    <w:rsid w:val="00BB5E71"/>
    <w:rsid w:val="00BB5EA7"/>
    <w:rsid w:val="00BB60B6"/>
    <w:rsid w:val="00BB611C"/>
    <w:rsid w:val="00BB617C"/>
    <w:rsid w:val="00BB6319"/>
    <w:rsid w:val="00BB66F9"/>
    <w:rsid w:val="00BB6768"/>
    <w:rsid w:val="00BB6781"/>
    <w:rsid w:val="00BB682B"/>
    <w:rsid w:val="00BB6A90"/>
    <w:rsid w:val="00BB6C49"/>
    <w:rsid w:val="00BB6C66"/>
    <w:rsid w:val="00BB6CEF"/>
    <w:rsid w:val="00BB6FDD"/>
    <w:rsid w:val="00BB703A"/>
    <w:rsid w:val="00BB721B"/>
    <w:rsid w:val="00BB7277"/>
    <w:rsid w:val="00BB7372"/>
    <w:rsid w:val="00BB73BC"/>
    <w:rsid w:val="00BB7432"/>
    <w:rsid w:val="00BB74A0"/>
    <w:rsid w:val="00BB75B1"/>
    <w:rsid w:val="00BB7740"/>
    <w:rsid w:val="00BB778F"/>
    <w:rsid w:val="00BB7907"/>
    <w:rsid w:val="00BB7935"/>
    <w:rsid w:val="00BB7944"/>
    <w:rsid w:val="00BB79AE"/>
    <w:rsid w:val="00BB7A83"/>
    <w:rsid w:val="00BB7ADA"/>
    <w:rsid w:val="00BB7C4B"/>
    <w:rsid w:val="00BB7D0A"/>
    <w:rsid w:val="00BB7E50"/>
    <w:rsid w:val="00BB7F26"/>
    <w:rsid w:val="00BB7F4C"/>
    <w:rsid w:val="00BB7F91"/>
    <w:rsid w:val="00BC0045"/>
    <w:rsid w:val="00BC01CF"/>
    <w:rsid w:val="00BC036E"/>
    <w:rsid w:val="00BC04B3"/>
    <w:rsid w:val="00BC04B5"/>
    <w:rsid w:val="00BC0533"/>
    <w:rsid w:val="00BC061D"/>
    <w:rsid w:val="00BC0744"/>
    <w:rsid w:val="00BC0767"/>
    <w:rsid w:val="00BC0868"/>
    <w:rsid w:val="00BC0906"/>
    <w:rsid w:val="00BC098E"/>
    <w:rsid w:val="00BC0AA0"/>
    <w:rsid w:val="00BC0BE7"/>
    <w:rsid w:val="00BC0CFD"/>
    <w:rsid w:val="00BC0E04"/>
    <w:rsid w:val="00BC0EAF"/>
    <w:rsid w:val="00BC0EF9"/>
    <w:rsid w:val="00BC1180"/>
    <w:rsid w:val="00BC148F"/>
    <w:rsid w:val="00BC14FE"/>
    <w:rsid w:val="00BC1510"/>
    <w:rsid w:val="00BC15FF"/>
    <w:rsid w:val="00BC1687"/>
    <w:rsid w:val="00BC1AFC"/>
    <w:rsid w:val="00BC1B47"/>
    <w:rsid w:val="00BC1CC3"/>
    <w:rsid w:val="00BC1E86"/>
    <w:rsid w:val="00BC1EB3"/>
    <w:rsid w:val="00BC2141"/>
    <w:rsid w:val="00BC229F"/>
    <w:rsid w:val="00BC2687"/>
    <w:rsid w:val="00BC28A6"/>
    <w:rsid w:val="00BC28E8"/>
    <w:rsid w:val="00BC290C"/>
    <w:rsid w:val="00BC2946"/>
    <w:rsid w:val="00BC2B5A"/>
    <w:rsid w:val="00BC2BAA"/>
    <w:rsid w:val="00BC2C4D"/>
    <w:rsid w:val="00BC2D0F"/>
    <w:rsid w:val="00BC2FF6"/>
    <w:rsid w:val="00BC3049"/>
    <w:rsid w:val="00BC3172"/>
    <w:rsid w:val="00BC318C"/>
    <w:rsid w:val="00BC32B3"/>
    <w:rsid w:val="00BC339B"/>
    <w:rsid w:val="00BC3405"/>
    <w:rsid w:val="00BC3541"/>
    <w:rsid w:val="00BC361C"/>
    <w:rsid w:val="00BC366D"/>
    <w:rsid w:val="00BC38A6"/>
    <w:rsid w:val="00BC3964"/>
    <w:rsid w:val="00BC3A3C"/>
    <w:rsid w:val="00BC3B22"/>
    <w:rsid w:val="00BC3F12"/>
    <w:rsid w:val="00BC405C"/>
    <w:rsid w:val="00BC40EE"/>
    <w:rsid w:val="00BC428A"/>
    <w:rsid w:val="00BC441E"/>
    <w:rsid w:val="00BC45A3"/>
    <w:rsid w:val="00BC478A"/>
    <w:rsid w:val="00BC486D"/>
    <w:rsid w:val="00BC48C6"/>
    <w:rsid w:val="00BC4911"/>
    <w:rsid w:val="00BC4ADB"/>
    <w:rsid w:val="00BC4BB5"/>
    <w:rsid w:val="00BC4C00"/>
    <w:rsid w:val="00BC4D68"/>
    <w:rsid w:val="00BC4DD4"/>
    <w:rsid w:val="00BC4F6B"/>
    <w:rsid w:val="00BC50CA"/>
    <w:rsid w:val="00BC50DE"/>
    <w:rsid w:val="00BC5140"/>
    <w:rsid w:val="00BC52A6"/>
    <w:rsid w:val="00BC5454"/>
    <w:rsid w:val="00BC549A"/>
    <w:rsid w:val="00BC54DF"/>
    <w:rsid w:val="00BC56AB"/>
    <w:rsid w:val="00BC56C0"/>
    <w:rsid w:val="00BC56FE"/>
    <w:rsid w:val="00BC57A3"/>
    <w:rsid w:val="00BC5984"/>
    <w:rsid w:val="00BC5B61"/>
    <w:rsid w:val="00BC5CBA"/>
    <w:rsid w:val="00BC5D06"/>
    <w:rsid w:val="00BC5D0B"/>
    <w:rsid w:val="00BC5DD7"/>
    <w:rsid w:val="00BC5E77"/>
    <w:rsid w:val="00BC5E80"/>
    <w:rsid w:val="00BC600A"/>
    <w:rsid w:val="00BC60FB"/>
    <w:rsid w:val="00BC63E4"/>
    <w:rsid w:val="00BC6418"/>
    <w:rsid w:val="00BC6469"/>
    <w:rsid w:val="00BC64BF"/>
    <w:rsid w:val="00BC64E3"/>
    <w:rsid w:val="00BC655D"/>
    <w:rsid w:val="00BC65E9"/>
    <w:rsid w:val="00BC667E"/>
    <w:rsid w:val="00BC6741"/>
    <w:rsid w:val="00BC67A1"/>
    <w:rsid w:val="00BC6BA7"/>
    <w:rsid w:val="00BC6CDC"/>
    <w:rsid w:val="00BC6DA6"/>
    <w:rsid w:val="00BC6EFD"/>
    <w:rsid w:val="00BC6F69"/>
    <w:rsid w:val="00BC6FA3"/>
    <w:rsid w:val="00BC71A2"/>
    <w:rsid w:val="00BC7238"/>
    <w:rsid w:val="00BC72A2"/>
    <w:rsid w:val="00BC73C2"/>
    <w:rsid w:val="00BC73F1"/>
    <w:rsid w:val="00BC745B"/>
    <w:rsid w:val="00BC7465"/>
    <w:rsid w:val="00BC7473"/>
    <w:rsid w:val="00BC74A8"/>
    <w:rsid w:val="00BC754D"/>
    <w:rsid w:val="00BC7655"/>
    <w:rsid w:val="00BC77B0"/>
    <w:rsid w:val="00BC77E2"/>
    <w:rsid w:val="00BC77F8"/>
    <w:rsid w:val="00BC7814"/>
    <w:rsid w:val="00BC79E0"/>
    <w:rsid w:val="00BC7A22"/>
    <w:rsid w:val="00BC7AD9"/>
    <w:rsid w:val="00BC7BCA"/>
    <w:rsid w:val="00BC7CB9"/>
    <w:rsid w:val="00BC7D2E"/>
    <w:rsid w:val="00BC7E09"/>
    <w:rsid w:val="00BC7F2C"/>
    <w:rsid w:val="00BC7F41"/>
    <w:rsid w:val="00BC7F62"/>
    <w:rsid w:val="00BD00BC"/>
    <w:rsid w:val="00BD03DE"/>
    <w:rsid w:val="00BD050D"/>
    <w:rsid w:val="00BD0636"/>
    <w:rsid w:val="00BD065F"/>
    <w:rsid w:val="00BD06A2"/>
    <w:rsid w:val="00BD091B"/>
    <w:rsid w:val="00BD0CA4"/>
    <w:rsid w:val="00BD0D03"/>
    <w:rsid w:val="00BD0D17"/>
    <w:rsid w:val="00BD0DB5"/>
    <w:rsid w:val="00BD0E22"/>
    <w:rsid w:val="00BD0E83"/>
    <w:rsid w:val="00BD0EFD"/>
    <w:rsid w:val="00BD0F49"/>
    <w:rsid w:val="00BD10A5"/>
    <w:rsid w:val="00BD13EB"/>
    <w:rsid w:val="00BD1532"/>
    <w:rsid w:val="00BD1664"/>
    <w:rsid w:val="00BD1964"/>
    <w:rsid w:val="00BD1DEC"/>
    <w:rsid w:val="00BD1E22"/>
    <w:rsid w:val="00BD1E6F"/>
    <w:rsid w:val="00BD1FDA"/>
    <w:rsid w:val="00BD2127"/>
    <w:rsid w:val="00BD23C7"/>
    <w:rsid w:val="00BD2549"/>
    <w:rsid w:val="00BD2632"/>
    <w:rsid w:val="00BD26F1"/>
    <w:rsid w:val="00BD2753"/>
    <w:rsid w:val="00BD2761"/>
    <w:rsid w:val="00BD27EB"/>
    <w:rsid w:val="00BD295D"/>
    <w:rsid w:val="00BD298B"/>
    <w:rsid w:val="00BD2A31"/>
    <w:rsid w:val="00BD2C8F"/>
    <w:rsid w:val="00BD2ECF"/>
    <w:rsid w:val="00BD2F85"/>
    <w:rsid w:val="00BD2FAF"/>
    <w:rsid w:val="00BD3004"/>
    <w:rsid w:val="00BD34D4"/>
    <w:rsid w:val="00BD36AC"/>
    <w:rsid w:val="00BD36D1"/>
    <w:rsid w:val="00BD37D9"/>
    <w:rsid w:val="00BD39CB"/>
    <w:rsid w:val="00BD3B0A"/>
    <w:rsid w:val="00BD3BF3"/>
    <w:rsid w:val="00BD3C25"/>
    <w:rsid w:val="00BD3CA0"/>
    <w:rsid w:val="00BD3CD3"/>
    <w:rsid w:val="00BD3E0A"/>
    <w:rsid w:val="00BD3F12"/>
    <w:rsid w:val="00BD3F73"/>
    <w:rsid w:val="00BD3FD4"/>
    <w:rsid w:val="00BD41B8"/>
    <w:rsid w:val="00BD41E2"/>
    <w:rsid w:val="00BD445C"/>
    <w:rsid w:val="00BD473B"/>
    <w:rsid w:val="00BD47E2"/>
    <w:rsid w:val="00BD4911"/>
    <w:rsid w:val="00BD4C2B"/>
    <w:rsid w:val="00BD4C45"/>
    <w:rsid w:val="00BD4DB9"/>
    <w:rsid w:val="00BD4ED9"/>
    <w:rsid w:val="00BD502F"/>
    <w:rsid w:val="00BD5109"/>
    <w:rsid w:val="00BD5207"/>
    <w:rsid w:val="00BD5255"/>
    <w:rsid w:val="00BD52EA"/>
    <w:rsid w:val="00BD53C0"/>
    <w:rsid w:val="00BD5613"/>
    <w:rsid w:val="00BD56F0"/>
    <w:rsid w:val="00BD5734"/>
    <w:rsid w:val="00BD58D7"/>
    <w:rsid w:val="00BD590B"/>
    <w:rsid w:val="00BD59C7"/>
    <w:rsid w:val="00BD5B38"/>
    <w:rsid w:val="00BD5BCA"/>
    <w:rsid w:val="00BD5BD7"/>
    <w:rsid w:val="00BD5BF1"/>
    <w:rsid w:val="00BD5C05"/>
    <w:rsid w:val="00BD5C9C"/>
    <w:rsid w:val="00BD5CC9"/>
    <w:rsid w:val="00BD5DA0"/>
    <w:rsid w:val="00BD5E2A"/>
    <w:rsid w:val="00BD5F26"/>
    <w:rsid w:val="00BD638F"/>
    <w:rsid w:val="00BD654A"/>
    <w:rsid w:val="00BD6628"/>
    <w:rsid w:val="00BD6640"/>
    <w:rsid w:val="00BD6872"/>
    <w:rsid w:val="00BD6881"/>
    <w:rsid w:val="00BD6B20"/>
    <w:rsid w:val="00BD6BA7"/>
    <w:rsid w:val="00BD6C8F"/>
    <w:rsid w:val="00BD6D27"/>
    <w:rsid w:val="00BD6D51"/>
    <w:rsid w:val="00BD6D5A"/>
    <w:rsid w:val="00BD6E4C"/>
    <w:rsid w:val="00BD6E5B"/>
    <w:rsid w:val="00BD6EB4"/>
    <w:rsid w:val="00BD6EE1"/>
    <w:rsid w:val="00BD6F37"/>
    <w:rsid w:val="00BD72D6"/>
    <w:rsid w:val="00BD7541"/>
    <w:rsid w:val="00BD7550"/>
    <w:rsid w:val="00BD7593"/>
    <w:rsid w:val="00BD75B5"/>
    <w:rsid w:val="00BD75EB"/>
    <w:rsid w:val="00BD7636"/>
    <w:rsid w:val="00BD7671"/>
    <w:rsid w:val="00BD76B7"/>
    <w:rsid w:val="00BD76C3"/>
    <w:rsid w:val="00BD7766"/>
    <w:rsid w:val="00BD7775"/>
    <w:rsid w:val="00BD79BB"/>
    <w:rsid w:val="00BD7A57"/>
    <w:rsid w:val="00BD7A83"/>
    <w:rsid w:val="00BD7BCE"/>
    <w:rsid w:val="00BD7C34"/>
    <w:rsid w:val="00BD7DB5"/>
    <w:rsid w:val="00BD7E14"/>
    <w:rsid w:val="00BE0124"/>
    <w:rsid w:val="00BE01B4"/>
    <w:rsid w:val="00BE029C"/>
    <w:rsid w:val="00BE02D1"/>
    <w:rsid w:val="00BE049B"/>
    <w:rsid w:val="00BE04EA"/>
    <w:rsid w:val="00BE0546"/>
    <w:rsid w:val="00BE0569"/>
    <w:rsid w:val="00BE05EE"/>
    <w:rsid w:val="00BE065E"/>
    <w:rsid w:val="00BE071B"/>
    <w:rsid w:val="00BE081A"/>
    <w:rsid w:val="00BE08B0"/>
    <w:rsid w:val="00BE0A15"/>
    <w:rsid w:val="00BE0B8B"/>
    <w:rsid w:val="00BE0CBF"/>
    <w:rsid w:val="00BE0D45"/>
    <w:rsid w:val="00BE0DD6"/>
    <w:rsid w:val="00BE0F13"/>
    <w:rsid w:val="00BE0F3C"/>
    <w:rsid w:val="00BE1280"/>
    <w:rsid w:val="00BE13EB"/>
    <w:rsid w:val="00BE1407"/>
    <w:rsid w:val="00BE1474"/>
    <w:rsid w:val="00BE1531"/>
    <w:rsid w:val="00BE15B9"/>
    <w:rsid w:val="00BE15F6"/>
    <w:rsid w:val="00BE1980"/>
    <w:rsid w:val="00BE1984"/>
    <w:rsid w:val="00BE19FF"/>
    <w:rsid w:val="00BE1BD9"/>
    <w:rsid w:val="00BE1C04"/>
    <w:rsid w:val="00BE1C3B"/>
    <w:rsid w:val="00BE1CFD"/>
    <w:rsid w:val="00BE1E83"/>
    <w:rsid w:val="00BE1EDD"/>
    <w:rsid w:val="00BE20CB"/>
    <w:rsid w:val="00BE2119"/>
    <w:rsid w:val="00BE2139"/>
    <w:rsid w:val="00BE2149"/>
    <w:rsid w:val="00BE242E"/>
    <w:rsid w:val="00BE24A7"/>
    <w:rsid w:val="00BE263A"/>
    <w:rsid w:val="00BE26D5"/>
    <w:rsid w:val="00BE2769"/>
    <w:rsid w:val="00BE28A2"/>
    <w:rsid w:val="00BE29FD"/>
    <w:rsid w:val="00BE2A42"/>
    <w:rsid w:val="00BE2DA4"/>
    <w:rsid w:val="00BE2DBA"/>
    <w:rsid w:val="00BE2FF4"/>
    <w:rsid w:val="00BE318D"/>
    <w:rsid w:val="00BE31B5"/>
    <w:rsid w:val="00BE3203"/>
    <w:rsid w:val="00BE340E"/>
    <w:rsid w:val="00BE35A4"/>
    <w:rsid w:val="00BE35B9"/>
    <w:rsid w:val="00BE3729"/>
    <w:rsid w:val="00BE37EE"/>
    <w:rsid w:val="00BE3892"/>
    <w:rsid w:val="00BE393A"/>
    <w:rsid w:val="00BE398F"/>
    <w:rsid w:val="00BE3D9F"/>
    <w:rsid w:val="00BE411E"/>
    <w:rsid w:val="00BE416B"/>
    <w:rsid w:val="00BE418D"/>
    <w:rsid w:val="00BE432A"/>
    <w:rsid w:val="00BE43CD"/>
    <w:rsid w:val="00BE44D5"/>
    <w:rsid w:val="00BE454E"/>
    <w:rsid w:val="00BE45A9"/>
    <w:rsid w:val="00BE48F3"/>
    <w:rsid w:val="00BE496D"/>
    <w:rsid w:val="00BE4B57"/>
    <w:rsid w:val="00BE4DC6"/>
    <w:rsid w:val="00BE4F9D"/>
    <w:rsid w:val="00BE503D"/>
    <w:rsid w:val="00BE5141"/>
    <w:rsid w:val="00BE5180"/>
    <w:rsid w:val="00BE519A"/>
    <w:rsid w:val="00BE522A"/>
    <w:rsid w:val="00BE5647"/>
    <w:rsid w:val="00BE5BB9"/>
    <w:rsid w:val="00BE5DD1"/>
    <w:rsid w:val="00BE601F"/>
    <w:rsid w:val="00BE61E0"/>
    <w:rsid w:val="00BE638A"/>
    <w:rsid w:val="00BE6638"/>
    <w:rsid w:val="00BE6AC9"/>
    <w:rsid w:val="00BE6B9F"/>
    <w:rsid w:val="00BE6BB6"/>
    <w:rsid w:val="00BE6BBA"/>
    <w:rsid w:val="00BE6D11"/>
    <w:rsid w:val="00BE6E3A"/>
    <w:rsid w:val="00BE6E9F"/>
    <w:rsid w:val="00BE6F52"/>
    <w:rsid w:val="00BE728B"/>
    <w:rsid w:val="00BE733E"/>
    <w:rsid w:val="00BE739D"/>
    <w:rsid w:val="00BE73FA"/>
    <w:rsid w:val="00BE753E"/>
    <w:rsid w:val="00BE7575"/>
    <w:rsid w:val="00BE760F"/>
    <w:rsid w:val="00BE7697"/>
    <w:rsid w:val="00BE76A2"/>
    <w:rsid w:val="00BE76F7"/>
    <w:rsid w:val="00BE772B"/>
    <w:rsid w:val="00BE7817"/>
    <w:rsid w:val="00BE78A3"/>
    <w:rsid w:val="00BE7961"/>
    <w:rsid w:val="00BE79C2"/>
    <w:rsid w:val="00BE7A45"/>
    <w:rsid w:val="00BE7BB2"/>
    <w:rsid w:val="00BF0034"/>
    <w:rsid w:val="00BF00A6"/>
    <w:rsid w:val="00BF02B3"/>
    <w:rsid w:val="00BF03B1"/>
    <w:rsid w:val="00BF03C9"/>
    <w:rsid w:val="00BF041C"/>
    <w:rsid w:val="00BF05F5"/>
    <w:rsid w:val="00BF0600"/>
    <w:rsid w:val="00BF06E5"/>
    <w:rsid w:val="00BF0718"/>
    <w:rsid w:val="00BF0732"/>
    <w:rsid w:val="00BF075C"/>
    <w:rsid w:val="00BF07B6"/>
    <w:rsid w:val="00BF08B9"/>
    <w:rsid w:val="00BF09AC"/>
    <w:rsid w:val="00BF09BF"/>
    <w:rsid w:val="00BF0BC9"/>
    <w:rsid w:val="00BF0F15"/>
    <w:rsid w:val="00BF0FBD"/>
    <w:rsid w:val="00BF0FF2"/>
    <w:rsid w:val="00BF1217"/>
    <w:rsid w:val="00BF137C"/>
    <w:rsid w:val="00BF14CB"/>
    <w:rsid w:val="00BF14F2"/>
    <w:rsid w:val="00BF152B"/>
    <w:rsid w:val="00BF1639"/>
    <w:rsid w:val="00BF172A"/>
    <w:rsid w:val="00BF17AF"/>
    <w:rsid w:val="00BF1847"/>
    <w:rsid w:val="00BF187C"/>
    <w:rsid w:val="00BF1894"/>
    <w:rsid w:val="00BF190A"/>
    <w:rsid w:val="00BF19E9"/>
    <w:rsid w:val="00BF1A82"/>
    <w:rsid w:val="00BF1AAB"/>
    <w:rsid w:val="00BF1ADC"/>
    <w:rsid w:val="00BF1BAB"/>
    <w:rsid w:val="00BF1C41"/>
    <w:rsid w:val="00BF1CC8"/>
    <w:rsid w:val="00BF1DCE"/>
    <w:rsid w:val="00BF1F87"/>
    <w:rsid w:val="00BF21EF"/>
    <w:rsid w:val="00BF22AD"/>
    <w:rsid w:val="00BF243E"/>
    <w:rsid w:val="00BF24AD"/>
    <w:rsid w:val="00BF25CC"/>
    <w:rsid w:val="00BF26C3"/>
    <w:rsid w:val="00BF289F"/>
    <w:rsid w:val="00BF2C27"/>
    <w:rsid w:val="00BF2EDE"/>
    <w:rsid w:val="00BF30F5"/>
    <w:rsid w:val="00BF31EF"/>
    <w:rsid w:val="00BF33B9"/>
    <w:rsid w:val="00BF36F0"/>
    <w:rsid w:val="00BF3770"/>
    <w:rsid w:val="00BF389B"/>
    <w:rsid w:val="00BF391D"/>
    <w:rsid w:val="00BF3E03"/>
    <w:rsid w:val="00BF3E29"/>
    <w:rsid w:val="00BF3E3A"/>
    <w:rsid w:val="00BF3E6F"/>
    <w:rsid w:val="00BF3F69"/>
    <w:rsid w:val="00BF407D"/>
    <w:rsid w:val="00BF40A9"/>
    <w:rsid w:val="00BF4258"/>
    <w:rsid w:val="00BF4534"/>
    <w:rsid w:val="00BF45B2"/>
    <w:rsid w:val="00BF45B4"/>
    <w:rsid w:val="00BF45BE"/>
    <w:rsid w:val="00BF45C8"/>
    <w:rsid w:val="00BF46B7"/>
    <w:rsid w:val="00BF4783"/>
    <w:rsid w:val="00BF4814"/>
    <w:rsid w:val="00BF491A"/>
    <w:rsid w:val="00BF4B23"/>
    <w:rsid w:val="00BF4B25"/>
    <w:rsid w:val="00BF4C2E"/>
    <w:rsid w:val="00BF4D6B"/>
    <w:rsid w:val="00BF4D77"/>
    <w:rsid w:val="00BF4F90"/>
    <w:rsid w:val="00BF4FA3"/>
    <w:rsid w:val="00BF51BB"/>
    <w:rsid w:val="00BF54A9"/>
    <w:rsid w:val="00BF5841"/>
    <w:rsid w:val="00BF5AB9"/>
    <w:rsid w:val="00BF5C50"/>
    <w:rsid w:val="00BF5EE0"/>
    <w:rsid w:val="00BF5F64"/>
    <w:rsid w:val="00BF5FA4"/>
    <w:rsid w:val="00BF6132"/>
    <w:rsid w:val="00BF6328"/>
    <w:rsid w:val="00BF6462"/>
    <w:rsid w:val="00BF6496"/>
    <w:rsid w:val="00BF64BB"/>
    <w:rsid w:val="00BF66E3"/>
    <w:rsid w:val="00BF6870"/>
    <w:rsid w:val="00BF68C1"/>
    <w:rsid w:val="00BF6A4E"/>
    <w:rsid w:val="00BF6AD6"/>
    <w:rsid w:val="00BF6B22"/>
    <w:rsid w:val="00BF6BAC"/>
    <w:rsid w:val="00BF6BC1"/>
    <w:rsid w:val="00BF6C21"/>
    <w:rsid w:val="00BF700B"/>
    <w:rsid w:val="00BF7063"/>
    <w:rsid w:val="00BF718D"/>
    <w:rsid w:val="00BF7332"/>
    <w:rsid w:val="00BF73D7"/>
    <w:rsid w:val="00BF7471"/>
    <w:rsid w:val="00BF750A"/>
    <w:rsid w:val="00BF7599"/>
    <w:rsid w:val="00BF7611"/>
    <w:rsid w:val="00BF764A"/>
    <w:rsid w:val="00BF7730"/>
    <w:rsid w:val="00BF788E"/>
    <w:rsid w:val="00BF78E0"/>
    <w:rsid w:val="00BF7B18"/>
    <w:rsid w:val="00BF7B7B"/>
    <w:rsid w:val="00BF7D43"/>
    <w:rsid w:val="00BF7DD1"/>
    <w:rsid w:val="00BF7FC0"/>
    <w:rsid w:val="00C0003D"/>
    <w:rsid w:val="00C0009E"/>
    <w:rsid w:val="00C0011A"/>
    <w:rsid w:val="00C001E1"/>
    <w:rsid w:val="00C0029D"/>
    <w:rsid w:val="00C005AC"/>
    <w:rsid w:val="00C005B7"/>
    <w:rsid w:val="00C00657"/>
    <w:rsid w:val="00C0070A"/>
    <w:rsid w:val="00C0071A"/>
    <w:rsid w:val="00C007BA"/>
    <w:rsid w:val="00C0085C"/>
    <w:rsid w:val="00C00929"/>
    <w:rsid w:val="00C00948"/>
    <w:rsid w:val="00C009C2"/>
    <w:rsid w:val="00C00AB5"/>
    <w:rsid w:val="00C00DF2"/>
    <w:rsid w:val="00C00E1F"/>
    <w:rsid w:val="00C00F8F"/>
    <w:rsid w:val="00C01096"/>
    <w:rsid w:val="00C0122E"/>
    <w:rsid w:val="00C012F9"/>
    <w:rsid w:val="00C0153C"/>
    <w:rsid w:val="00C0177E"/>
    <w:rsid w:val="00C01804"/>
    <w:rsid w:val="00C019E3"/>
    <w:rsid w:val="00C01DC4"/>
    <w:rsid w:val="00C01DFA"/>
    <w:rsid w:val="00C01E20"/>
    <w:rsid w:val="00C01FE4"/>
    <w:rsid w:val="00C02174"/>
    <w:rsid w:val="00C023B6"/>
    <w:rsid w:val="00C023EF"/>
    <w:rsid w:val="00C02601"/>
    <w:rsid w:val="00C026C7"/>
    <w:rsid w:val="00C02798"/>
    <w:rsid w:val="00C027B1"/>
    <w:rsid w:val="00C0283E"/>
    <w:rsid w:val="00C028F0"/>
    <w:rsid w:val="00C02DAF"/>
    <w:rsid w:val="00C02E7C"/>
    <w:rsid w:val="00C031B2"/>
    <w:rsid w:val="00C032A5"/>
    <w:rsid w:val="00C0335A"/>
    <w:rsid w:val="00C03521"/>
    <w:rsid w:val="00C037A0"/>
    <w:rsid w:val="00C03A1D"/>
    <w:rsid w:val="00C03B98"/>
    <w:rsid w:val="00C03BC4"/>
    <w:rsid w:val="00C03C96"/>
    <w:rsid w:val="00C03D3E"/>
    <w:rsid w:val="00C03DC0"/>
    <w:rsid w:val="00C03ED0"/>
    <w:rsid w:val="00C03EE1"/>
    <w:rsid w:val="00C03FD5"/>
    <w:rsid w:val="00C041CB"/>
    <w:rsid w:val="00C04205"/>
    <w:rsid w:val="00C04285"/>
    <w:rsid w:val="00C04319"/>
    <w:rsid w:val="00C04583"/>
    <w:rsid w:val="00C04663"/>
    <w:rsid w:val="00C04664"/>
    <w:rsid w:val="00C0466A"/>
    <w:rsid w:val="00C04781"/>
    <w:rsid w:val="00C04A56"/>
    <w:rsid w:val="00C04C68"/>
    <w:rsid w:val="00C04CF2"/>
    <w:rsid w:val="00C04DD8"/>
    <w:rsid w:val="00C04DF1"/>
    <w:rsid w:val="00C04F13"/>
    <w:rsid w:val="00C04FCF"/>
    <w:rsid w:val="00C04FFA"/>
    <w:rsid w:val="00C05141"/>
    <w:rsid w:val="00C0518D"/>
    <w:rsid w:val="00C05261"/>
    <w:rsid w:val="00C0553D"/>
    <w:rsid w:val="00C05617"/>
    <w:rsid w:val="00C056AD"/>
    <w:rsid w:val="00C056BC"/>
    <w:rsid w:val="00C057B0"/>
    <w:rsid w:val="00C057DB"/>
    <w:rsid w:val="00C0592D"/>
    <w:rsid w:val="00C059D6"/>
    <w:rsid w:val="00C05AC3"/>
    <w:rsid w:val="00C05AF0"/>
    <w:rsid w:val="00C05D89"/>
    <w:rsid w:val="00C05E8A"/>
    <w:rsid w:val="00C05FCF"/>
    <w:rsid w:val="00C0609A"/>
    <w:rsid w:val="00C06163"/>
    <w:rsid w:val="00C061AA"/>
    <w:rsid w:val="00C0620D"/>
    <w:rsid w:val="00C0624C"/>
    <w:rsid w:val="00C06511"/>
    <w:rsid w:val="00C065B9"/>
    <w:rsid w:val="00C065E5"/>
    <w:rsid w:val="00C065F2"/>
    <w:rsid w:val="00C06779"/>
    <w:rsid w:val="00C0687C"/>
    <w:rsid w:val="00C06A93"/>
    <w:rsid w:val="00C06B82"/>
    <w:rsid w:val="00C06D37"/>
    <w:rsid w:val="00C06F2D"/>
    <w:rsid w:val="00C07190"/>
    <w:rsid w:val="00C07257"/>
    <w:rsid w:val="00C0725A"/>
    <w:rsid w:val="00C075A1"/>
    <w:rsid w:val="00C0779A"/>
    <w:rsid w:val="00C077D1"/>
    <w:rsid w:val="00C077EB"/>
    <w:rsid w:val="00C0785D"/>
    <w:rsid w:val="00C0799D"/>
    <w:rsid w:val="00C07A18"/>
    <w:rsid w:val="00C07A5B"/>
    <w:rsid w:val="00C07A60"/>
    <w:rsid w:val="00C07B2B"/>
    <w:rsid w:val="00C07B5E"/>
    <w:rsid w:val="00C07B95"/>
    <w:rsid w:val="00C07BC6"/>
    <w:rsid w:val="00C07D44"/>
    <w:rsid w:val="00C07DE5"/>
    <w:rsid w:val="00C07E02"/>
    <w:rsid w:val="00C07E1F"/>
    <w:rsid w:val="00C07EFF"/>
    <w:rsid w:val="00C07F61"/>
    <w:rsid w:val="00C1027A"/>
    <w:rsid w:val="00C102F3"/>
    <w:rsid w:val="00C106C6"/>
    <w:rsid w:val="00C107F5"/>
    <w:rsid w:val="00C10BCE"/>
    <w:rsid w:val="00C10D1F"/>
    <w:rsid w:val="00C10D7C"/>
    <w:rsid w:val="00C10E20"/>
    <w:rsid w:val="00C10F3A"/>
    <w:rsid w:val="00C10FE7"/>
    <w:rsid w:val="00C11082"/>
    <w:rsid w:val="00C110F0"/>
    <w:rsid w:val="00C1111A"/>
    <w:rsid w:val="00C112F7"/>
    <w:rsid w:val="00C1150F"/>
    <w:rsid w:val="00C1156B"/>
    <w:rsid w:val="00C1157F"/>
    <w:rsid w:val="00C115B8"/>
    <w:rsid w:val="00C1177E"/>
    <w:rsid w:val="00C11792"/>
    <w:rsid w:val="00C117D9"/>
    <w:rsid w:val="00C118A1"/>
    <w:rsid w:val="00C11933"/>
    <w:rsid w:val="00C11A8B"/>
    <w:rsid w:val="00C11B04"/>
    <w:rsid w:val="00C11B0B"/>
    <w:rsid w:val="00C11BD5"/>
    <w:rsid w:val="00C11BF0"/>
    <w:rsid w:val="00C11BF1"/>
    <w:rsid w:val="00C11C4D"/>
    <w:rsid w:val="00C11DB8"/>
    <w:rsid w:val="00C11DEF"/>
    <w:rsid w:val="00C11EB6"/>
    <w:rsid w:val="00C11F4B"/>
    <w:rsid w:val="00C12286"/>
    <w:rsid w:val="00C122E7"/>
    <w:rsid w:val="00C12321"/>
    <w:rsid w:val="00C12426"/>
    <w:rsid w:val="00C12448"/>
    <w:rsid w:val="00C124F0"/>
    <w:rsid w:val="00C12668"/>
    <w:rsid w:val="00C12672"/>
    <w:rsid w:val="00C126BD"/>
    <w:rsid w:val="00C126FA"/>
    <w:rsid w:val="00C1295A"/>
    <w:rsid w:val="00C12A7F"/>
    <w:rsid w:val="00C12A9E"/>
    <w:rsid w:val="00C12C05"/>
    <w:rsid w:val="00C12C08"/>
    <w:rsid w:val="00C12C25"/>
    <w:rsid w:val="00C12D4E"/>
    <w:rsid w:val="00C12D63"/>
    <w:rsid w:val="00C132F4"/>
    <w:rsid w:val="00C13732"/>
    <w:rsid w:val="00C1378B"/>
    <w:rsid w:val="00C1382D"/>
    <w:rsid w:val="00C13905"/>
    <w:rsid w:val="00C139B2"/>
    <w:rsid w:val="00C13A46"/>
    <w:rsid w:val="00C13AE7"/>
    <w:rsid w:val="00C13B90"/>
    <w:rsid w:val="00C13C64"/>
    <w:rsid w:val="00C13DE3"/>
    <w:rsid w:val="00C1408E"/>
    <w:rsid w:val="00C14117"/>
    <w:rsid w:val="00C1431B"/>
    <w:rsid w:val="00C14491"/>
    <w:rsid w:val="00C145F4"/>
    <w:rsid w:val="00C14897"/>
    <w:rsid w:val="00C14A44"/>
    <w:rsid w:val="00C14AD2"/>
    <w:rsid w:val="00C14C12"/>
    <w:rsid w:val="00C14D4C"/>
    <w:rsid w:val="00C14D64"/>
    <w:rsid w:val="00C14D91"/>
    <w:rsid w:val="00C14FC7"/>
    <w:rsid w:val="00C15048"/>
    <w:rsid w:val="00C151B9"/>
    <w:rsid w:val="00C1525C"/>
    <w:rsid w:val="00C152AA"/>
    <w:rsid w:val="00C152F4"/>
    <w:rsid w:val="00C153EC"/>
    <w:rsid w:val="00C1550A"/>
    <w:rsid w:val="00C1561B"/>
    <w:rsid w:val="00C15787"/>
    <w:rsid w:val="00C157B8"/>
    <w:rsid w:val="00C15AB7"/>
    <w:rsid w:val="00C15AC3"/>
    <w:rsid w:val="00C15B6F"/>
    <w:rsid w:val="00C15DCB"/>
    <w:rsid w:val="00C15DDE"/>
    <w:rsid w:val="00C15E6E"/>
    <w:rsid w:val="00C15F83"/>
    <w:rsid w:val="00C16144"/>
    <w:rsid w:val="00C1614E"/>
    <w:rsid w:val="00C16284"/>
    <w:rsid w:val="00C1639E"/>
    <w:rsid w:val="00C163DE"/>
    <w:rsid w:val="00C16687"/>
    <w:rsid w:val="00C16909"/>
    <w:rsid w:val="00C16A71"/>
    <w:rsid w:val="00C16A95"/>
    <w:rsid w:val="00C16E0F"/>
    <w:rsid w:val="00C16E2C"/>
    <w:rsid w:val="00C17696"/>
    <w:rsid w:val="00C177EB"/>
    <w:rsid w:val="00C17BF6"/>
    <w:rsid w:val="00C17D02"/>
    <w:rsid w:val="00C17E52"/>
    <w:rsid w:val="00C200C7"/>
    <w:rsid w:val="00C20176"/>
    <w:rsid w:val="00C20282"/>
    <w:rsid w:val="00C2037D"/>
    <w:rsid w:val="00C20515"/>
    <w:rsid w:val="00C205A6"/>
    <w:rsid w:val="00C207B1"/>
    <w:rsid w:val="00C207D9"/>
    <w:rsid w:val="00C2082F"/>
    <w:rsid w:val="00C2087E"/>
    <w:rsid w:val="00C208C5"/>
    <w:rsid w:val="00C20AD7"/>
    <w:rsid w:val="00C20B51"/>
    <w:rsid w:val="00C20BDD"/>
    <w:rsid w:val="00C20CCC"/>
    <w:rsid w:val="00C20D75"/>
    <w:rsid w:val="00C20DD7"/>
    <w:rsid w:val="00C20E21"/>
    <w:rsid w:val="00C210A7"/>
    <w:rsid w:val="00C213FF"/>
    <w:rsid w:val="00C215B7"/>
    <w:rsid w:val="00C215EA"/>
    <w:rsid w:val="00C2185C"/>
    <w:rsid w:val="00C21871"/>
    <w:rsid w:val="00C218D7"/>
    <w:rsid w:val="00C21943"/>
    <w:rsid w:val="00C219BB"/>
    <w:rsid w:val="00C21AF5"/>
    <w:rsid w:val="00C21E3B"/>
    <w:rsid w:val="00C21ED2"/>
    <w:rsid w:val="00C21F16"/>
    <w:rsid w:val="00C2215D"/>
    <w:rsid w:val="00C22190"/>
    <w:rsid w:val="00C221EC"/>
    <w:rsid w:val="00C222FC"/>
    <w:rsid w:val="00C22450"/>
    <w:rsid w:val="00C22591"/>
    <w:rsid w:val="00C22633"/>
    <w:rsid w:val="00C22639"/>
    <w:rsid w:val="00C22647"/>
    <w:rsid w:val="00C2287D"/>
    <w:rsid w:val="00C228DB"/>
    <w:rsid w:val="00C2290D"/>
    <w:rsid w:val="00C22AF8"/>
    <w:rsid w:val="00C22B71"/>
    <w:rsid w:val="00C22C0E"/>
    <w:rsid w:val="00C22CEC"/>
    <w:rsid w:val="00C22DDD"/>
    <w:rsid w:val="00C22E46"/>
    <w:rsid w:val="00C22EBD"/>
    <w:rsid w:val="00C22ED5"/>
    <w:rsid w:val="00C2312D"/>
    <w:rsid w:val="00C23144"/>
    <w:rsid w:val="00C231F2"/>
    <w:rsid w:val="00C232BD"/>
    <w:rsid w:val="00C23343"/>
    <w:rsid w:val="00C23428"/>
    <w:rsid w:val="00C23499"/>
    <w:rsid w:val="00C23633"/>
    <w:rsid w:val="00C23806"/>
    <w:rsid w:val="00C23843"/>
    <w:rsid w:val="00C238B6"/>
    <w:rsid w:val="00C238C1"/>
    <w:rsid w:val="00C23A74"/>
    <w:rsid w:val="00C23AA6"/>
    <w:rsid w:val="00C23B21"/>
    <w:rsid w:val="00C23BE0"/>
    <w:rsid w:val="00C23C27"/>
    <w:rsid w:val="00C23C3D"/>
    <w:rsid w:val="00C23CB6"/>
    <w:rsid w:val="00C23D45"/>
    <w:rsid w:val="00C23D85"/>
    <w:rsid w:val="00C23ECA"/>
    <w:rsid w:val="00C23FB6"/>
    <w:rsid w:val="00C2402C"/>
    <w:rsid w:val="00C240D4"/>
    <w:rsid w:val="00C2446B"/>
    <w:rsid w:val="00C2466D"/>
    <w:rsid w:val="00C24692"/>
    <w:rsid w:val="00C24798"/>
    <w:rsid w:val="00C247FA"/>
    <w:rsid w:val="00C249A0"/>
    <w:rsid w:val="00C24AA4"/>
    <w:rsid w:val="00C24D7B"/>
    <w:rsid w:val="00C24F16"/>
    <w:rsid w:val="00C24F58"/>
    <w:rsid w:val="00C2543F"/>
    <w:rsid w:val="00C25448"/>
    <w:rsid w:val="00C25498"/>
    <w:rsid w:val="00C254FA"/>
    <w:rsid w:val="00C2558C"/>
    <w:rsid w:val="00C25691"/>
    <w:rsid w:val="00C25752"/>
    <w:rsid w:val="00C25821"/>
    <w:rsid w:val="00C25929"/>
    <w:rsid w:val="00C25A23"/>
    <w:rsid w:val="00C25A4F"/>
    <w:rsid w:val="00C25A66"/>
    <w:rsid w:val="00C25C8D"/>
    <w:rsid w:val="00C25CD6"/>
    <w:rsid w:val="00C25D48"/>
    <w:rsid w:val="00C25D88"/>
    <w:rsid w:val="00C25EFA"/>
    <w:rsid w:val="00C261A2"/>
    <w:rsid w:val="00C263AE"/>
    <w:rsid w:val="00C2645A"/>
    <w:rsid w:val="00C26639"/>
    <w:rsid w:val="00C26688"/>
    <w:rsid w:val="00C2675C"/>
    <w:rsid w:val="00C267A0"/>
    <w:rsid w:val="00C267BF"/>
    <w:rsid w:val="00C2681F"/>
    <w:rsid w:val="00C26848"/>
    <w:rsid w:val="00C26945"/>
    <w:rsid w:val="00C26947"/>
    <w:rsid w:val="00C269D3"/>
    <w:rsid w:val="00C26B09"/>
    <w:rsid w:val="00C26B1D"/>
    <w:rsid w:val="00C26C57"/>
    <w:rsid w:val="00C26CB5"/>
    <w:rsid w:val="00C26D29"/>
    <w:rsid w:val="00C26EDB"/>
    <w:rsid w:val="00C26F12"/>
    <w:rsid w:val="00C26FD3"/>
    <w:rsid w:val="00C270C9"/>
    <w:rsid w:val="00C271F7"/>
    <w:rsid w:val="00C2735D"/>
    <w:rsid w:val="00C2752B"/>
    <w:rsid w:val="00C27724"/>
    <w:rsid w:val="00C27743"/>
    <w:rsid w:val="00C27801"/>
    <w:rsid w:val="00C27893"/>
    <w:rsid w:val="00C278A0"/>
    <w:rsid w:val="00C2795B"/>
    <w:rsid w:val="00C27BDB"/>
    <w:rsid w:val="00C27C3F"/>
    <w:rsid w:val="00C27C59"/>
    <w:rsid w:val="00C27C68"/>
    <w:rsid w:val="00C27D56"/>
    <w:rsid w:val="00C30009"/>
    <w:rsid w:val="00C30079"/>
    <w:rsid w:val="00C302CC"/>
    <w:rsid w:val="00C302DC"/>
    <w:rsid w:val="00C3039D"/>
    <w:rsid w:val="00C30526"/>
    <w:rsid w:val="00C305B3"/>
    <w:rsid w:val="00C3071E"/>
    <w:rsid w:val="00C307D3"/>
    <w:rsid w:val="00C30915"/>
    <w:rsid w:val="00C309E4"/>
    <w:rsid w:val="00C30BB9"/>
    <w:rsid w:val="00C30C65"/>
    <w:rsid w:val="00C30F1B"/>
    <w:rsid w:val="00C31371"/>
    <w:rsid w:val="00C3161D"/>
    <w:rsid w:val="00C3179F"/>
    <w:rsid w:val="00C3187A"/>
    <w:rsid w:val="00C31C3E"/>
    <w:rsid w:val="00C31DE4"/>
    <w:rsid w:val="00C31E29"/>
    <w:rsid w:val="00C3214A"/>
    <w:rsid w:val="00C322AF"/>
    <w:rsid w:val="00C32440"/>
    <w:rsid w:val="00C32519"/>
    <w:rsid w:val="00C325C6"/>
    <w:rsid w:val="00C32798"/>
    <w:rsid w:val="00C32B29"/>
    <w:rsid w:val="00C32BC8"/>
    <w:rsid w:val="00C32C13"/>
    <w:rsid w:val="00C32DD9"/>
    <w:rsid w:val="00C32FCB"/>
    <w:rsid w:val="00C3303E"/>
    <w:rsid w:val="00C33170"/>
    <w:rsid w:val="00C33271"/>
    <w:rsid w:val="00C33316"/>
    <w:rsid w:val="00C334E3"/>
    <w:rsid w:val="00C33585"/>
    <w:rsid w:val="00C335A6"/>
    <w:rsid w:val="00C335A8"/>
    <w:rsid w:val="00C3372D"/>
    <w:rsid w:val="00C3394E"/>
    <w:rsid w:val="00C33B91"/>
    <w:rsid w:val="00C33BEC"/>
    <w:rsid w:val="00C33C80"/>
    <w:rsid w:val="00C33F40"/>
    <w:rsid w:val="00C33FED"/>
    <w:rsid w:val="00C3406C"/>
    <w:rsid w:val="00C342E8"/>
    <w:rsid w:val="00C342FA"/>
    <w:rsid w:val="00C34313"/>
    <w:rsid w:val="00C34401"/>
    <w:rsid w:val="00C3456A"/>
    <w:rsid w:val="00C346E5"/>
    <w:rsid w:val="00C346FC"/>
    <w:rsid w:val="00C34862"/>
    <w:rsid w:val="00C349ED"/>
    <w:rsid w:val="00C34A81"/>
    <w:rsid w:val="00C34AF6"/>
    <w:rsid w:val="00C34B08"/>
    <w:rsid w:val="00C34B0C"/>
    <w:rsid w:val="00C34B36"/>
    <w:rsid w:val="00C34BD6"/>
    <w:rsid w:val="00C34BE8"/>
    <w:rsid w:val="00C34C8B"/>
    <w:rsid w:val="00C34E8F"/>
    <w:rsid w:val="00C34F17"/>
    <w:rsid w:val="00C3518A"/>
    <w:rsid w:val="00C351C0"/>
    <w:rsid w:val="00C354B4"/>
    <w:rsid w:val="00C35555"/>
    <w:rsid w:val="00C356B9"/>
    <w:rsid w:val="00C356D3"/>
    <w:rsid w:val="00C35702"/>
    <w:rsid w:val="00C357F9"/>
    <w:rsid w:val="00C359A3"/>
    <w:rsid w:val="00C359E1"/>
    <w:rsid w:val="00C359FE"/>
    <w:rsid w:val="00C35A72"/>
    <w:rsid w:val="00C35DAB"/>
    <w:rsid w:val="00C35F0D"/>
    <w:rsid w:val="00C360CC"/>
    <w:rsid w:val="00C36847"/>
    <w:rsid w:val="00C369F9"/>
    <w:rsid w:val="00C36A20"/>
    <w:rsid w:val="00C36BFF"/>
    <w:rsid w:val="00C37084"/>
    <w:rsid w:val="00C3712A"/>
    <w:rsid w:val="00C37189"/>
    <w:rsid w:val="00C371AD"/>
    <w:rsid w:val="00C372A0"/>
    <w:rsid w:val="00C372DB"/>
    <w:rsid w:val="00C37377"/>
    <w:rsid w:val="00C37378"/>
    <w:rsid w:val="00C373FC"/>
    <w:rsid w:val="00C37553"/>
    <w:rsid w:val="00C37560"/>
    <w:rsid w:val="00C3774B"/>
    <w:rsid w:val="00C37765"/>
    <w:rsid w:val="00C37781"/>
    <w:rsid w:val="00C3785F"/>
    <w:rsid w:val="00C378CF"/>
    <w:rsid w:val="00C37A46"/>
    <w:rsid w:val="00C37A61"/>
    <w:rsid w:val="00C37C84"/>
    <w:rsid w:val="00C37DDC"/>
    <w:rsid w:val="00C37E86"/>
    <w:rsid w:val="00C4010D"/>
    <w:rsid w:val="00C401BD"/>
    <w:rsid w:val="00C40356"/>
    <w:rsid w:val="00C40393"/>
    <w:rsid w:val="00C403F0"/>
    <w:rsid w:val="00C404CD"/>
    <w:rsid w:val="00C4050D"/>
    <w:rsid w:val="00C40569"/>
    <w:rsid w:val="00C4092F"/>
    <w:rsid w:val="00C409AD"/>
    <w:rsid w:val="00C40B21"/>
    <w:rsid w:val="00C40BED"/>
    <w:rsid w:val="00C40F56"/>
    <w:rsid w:val="00C41001"/>
    <w:rsid w:val="00C41397"/>
    <w:rsid w:val="00C4166C"/>
    <w:rsid w:val="00C417B6"/>
    <w:rsid w:val="00C41820"/>
    <w:rsid w:val="00C41BE3"/>
    <w:rsid w:val="00C41C37"/>
    <w:rsid w:val="00C41CFD"/>
    <w:rsid w:val="00C41E0B"/>
    <w:rsid w:val="00C42211"/>
    <w:rsid w:val="00C423B5"/>
    <w:rsid w:val="00C4250C"/>
    <w:rsid w:val="00C4252B"/>
    <w:rsid w:val="00C42670"/>
    <w:rsid w:val="00C4267B"/>
    <w:rsid w:val="00C426A0"/>
    <w:rsid w:val="00C42809"/>
    <w:rsid w:val="00C429F3"/>
    <w:rsid w:val="00C429F9"/>
    <w:rsid w:val="00C42A95"/>
    <w:rsid w:val="00C42BC4"/>
    <w:rsid w:val="00C42C2F"/>
    <w:rsid w:val="00C43157"/>
    <w:rsid w:val="00C431E3"/>
    <w:rsid w:val="00C4332E"/>
    <w:rsid w:val="00C433CF"/>
    <w:rsid w:val="00C4341A"/>
    <w:rsid w:val="00C43420"/>
    <w:rsid w:val="00C43518"/>
    <w:rsid w:val="00C43556"/>
    <w:rsid w:val="00C4357A"/>
    <w:rsid w:val="00C4365F"/>
    <w:rsid w:val="00C436CD"/>
    <w:rsid w:val="00C4376F"/>
    <w:rsid w:val="00C4377F"/>
    <w:rsid w:val="00C43970"/>
    <w:rsid w:val="00C43CC6"/>
    <w:rsid w:val="00C43D19"/>
    <w:rsid w:val="00C43F1F"/>
    <w:rsid w:val="00C43FC0"/>
    <w:rsid w:val="00C440B4"/>
    <w:rsid w:val="00C4419B"/>
    <w:rsid w:val="00C441AB"/>
    <w:rsid w:val="00C44418"/>
    <w:rsid w:val="00C444B6"/>
    <w:rsid w:val="00C44536"/>
    <w:rsid w:val="00C44702"/>
    <w:rsid w:val="00C4479F"/>
    <w:rsid w:val="00C447AE"/>
    <w:rsid w:val="00C447E0"/>
    <w:rsid w:val="00C44867"/>
    <w:rsid w:val="00C448EF"/>
    <w:rsid w:val="00C44917"/>
    <w:rsid w:val="00C449E2"/>
    <w:rsid w:val="00C44A41"/>
    <w:rsid w:val="00C44A7F"/>
    <w:rsid w:val="00C44BF2"/>
    <w:rsid w:val="00C44CDC"/>
    <w:rsid w:val="00C44F02"/>
    <w:rsid w:val="00C44F7E"/>
    <w:rsid w:val="00C450C6"/>
    <w:rsid w:val="00C451DA"/>
    <w:rsid w:val="00C45405"/>
    <w:rsid w:val="00C4548C"/>
    <w:rsid w:val="00C4549F"/>
    <w:rsid w:val="00C454A5"/>
    <w:rsid w:val="00C455C9"/>
    <w:rsid w:val="00C4563B"/>
    <w:rsid w:val="00C458F2"/>
    <w:rsid w:val="00C458F3"/>
    <w:rsid w:val="00C45978"/>
    <w:rsid w:val="00C45A6F"/>
    <w:rsid w:val="00C45AD2"/>
    <w:rsid w:val="00C45AD6"/>
    <w:rsid w:val="00C45BC5"/>
    <w:rsid w:val="00C45DC1"/>
    <w:rsid w:val="00C45DFE"/>
    <w:rsid w:val="00C46031"/>
    <w:rsid w:val="00C460CA"/>
    <w:rsid w:val="00C461ED"/>
    <w:rsid w:val="00C46263"/>
    <w:rsid w:val="00C462B8"/>
    <w:rsid w:val="00C4649F"/>
    <w:rsid w:val="00C465F0"/>
    <w:rsid w:val="00C466A6"/>
    <w:rsid w:val="00C4683D"/>
    <w:rsid w:val="00C46A95"/>
    <w:rsid w:val="00C46C43"/>
    <w:rsid w:val="00C46D94"/>
    <w:rsid w:val="00C470CE"/>
    <w:rsid w:val="00C4710E"/>
    <w:rsid w:val="00C47157"/>
    <w:rsid w:val="00C47337"/>
    <w:rsid w:val="00C473AB"/>
    <w:rsid w:val="00C4745B"/>
    <w:rsid w:val="00C4757D"/>
    <w:rsid w:val="00C475D7"/>
    <w:rsid w:val="00C475F6"/>
    <w:rsid w:val="00C47615"/>
    <w:rsid w:val="00C47740"/>
    <w:rsid w:val="00C47752"/>
    <w:rsid w:val="00C4798C"/>
    <w:rsid w:val="00C47A7B"/>
    <w:rsid w:val="00C47B06"/>
    <w:rsid w:val="00C47B0F"/>
    <w:rsid w:val="00C47DEE"/>
    <w:rsid w:val="00C47E16"/>
    <w:rsid w:val="00C47F92"/>
    <w:rsid w:val="00C47FC4"/>
    <w:rsid w:val="00C5019D"/>
    <w:rsid w:val="00C50342"/>
    <w:rsid w:val="00C50384"/>
    <w:rsid w:val="00C505B3"/>
    <w:rsid w:val="00C50798"/>
    <w:rsid w:val="00C50803"/>
    <w:rsid w:val="00C5085B"/>
    <w:rsid w:val="00C50893"/>
    <w:rsid w:val="00C509B6"/>
    <w:rsid w:val="00C50ACD"/>
    <w:rsid w:val="00C50E6A"/>
    <w:rsid w:val="00C50F61"/>
    <w:rsid w:val="00C51209"/>
    <w:rsid w:val="00C51217"/>
    <w:rsid w:val="00C51389"/>
    <w:rsid w:val="00C513A1"/>
    <w:rsid w:val="00C513FB"/>
    <w:rsid w:val="00C514C8"/>
    <w:rsid w:val="00C51512"/>
    <w:rsid w:val="00C51616"/>
    <w:rsid w:val="00C517BB"/>
    <w:rsid w:val="00C51841"/>
    <w:rsid w:val="00C51860"/>
    <w:rsid w:val="00C518CF"/>
    <w:rsid w:val="00C519BD"/>
    <w:rsid w:val="00C51C47"/>
    <w:rsid w:val="00C51C9E"/>
    <w:rsid w:val="00C51D1A"/>
    <w:rsid w:val="00C51D3D"/>
    <w:rsid w:val="00C51D48"/>
    <w:rsid w:val="00C51DB9"/>
    <w:rsid w:val="00C51E98"/>
    <w:rsid w:val="00C51F69"/>
    <w:rsid w:val="00C51FD9"/>
    <w:rsid w:val="00C522A3"/>
    <w:rsid w:val="00C525B0"/>
    <w:rsid w:val="00C527D1"/>
    <w:rsid w:val="00C52BA4"/>
    <w:rsid w:val="00C52CD4"/>
    <w:rsid w:val="00C52E9D"/>
    <w:rsid w:val="00C52EDD"/>
    <w:rsid w:val="00C52F68"/>
    <w:rsid w:val="00C52F72"/>
    <w:rsid w:val="00C5306F"/>
    <w:rsid w:val="00C53097"/>
    <w:rsid w:val="00C5310A"/>
    <w:rsid w:val="00C5315D"/>
    <w:rsid w:val="00C5339D"/>
    <w:rsid w:val="00C535BE"/>
    <w:rsid w:val="00C535CC"/>
    <w:rsid w:val="00C53683"/>
    <w:rsid w:val="00C5375E"/>
    <w:rsid w:val="00C538F3"/>
    <w:rsid w:val="00C539C1"/>
    <w:rsid w:val="00C53AE0"/>
    <w:rsid w:val="00C53BA7"/>
    <w:rsid w:val="00C53DF4"/>
    <w:rsid w:val="00C53E4C"/>
    <w:rsid w:val="00C54037"/>
    <w:rsid w:val="00C54071"/>
    <w:rsid w:val="00C5408E"/>
    <w:rsid w:val="00C54144"/>
    <w:rsid w:val="00C5424B"/>
    <w:rsid w:val="00C546F0"/>
    <w:rsid w:val="00C54738"/>
    <w:rsid w:val="00C54C3B"/>
    <w:rsid w:val="00C54CB8"/>
    <w:rsid w:val="00C54FD3"/>
    <w:rsid w:val="00C55021"/>
    <w:rsid w:val="00C550CF"/>
    <w:rsid w:val="00C551B3"/>
    <w:rsid w:val="00C55212"/>
    <w:rsid w:val="00C55259"/>
    <w:rsid w:val="00C553DF"/>
    <w:rsid w:val="00C554BD"/>
    <w:rsid w:val="00C5565E"/>
    <w:rsid w:val="00C5579B"/>
    <w:rsid w:val="00C557EF"/>
    <w:rsid w:val="00C55920"/>
    <w:rsid w:val="00C560E5"/>
    <w:rsid w:val="00C5616C"/>
    <w:rsid w:val="00C562FD"/>
    <w:rsid w:val="00C5657F"/>
    <w:rsid w:val="00C5671F"/>
    <w:rsid w:val="00C5675D"/>
    <w:rsid w:val="00C56760"/>
    <w:rsid w:val="00C5683C"/>
    <w:rsid w:val="00C56855"/>
    <w:rsid w:val="00C56A47"/>
    <w:rsid w:val="00C56B1F"/>
    <w:rsid w:val="00C56B86"/>
    <w:rsid w:val="00C56BEC"/>
    <w:rsid w:val="00C56D46"/>
    <w:rsid w:val="00C56E25"/>
    <w:rsid w:val="00C56E27"/>
    <w:rsid w:val="00C56E45"/>
    <w:rsid w:val="00C56F5D"/>
    <w:rsid w:val="00C570B2"/>
    <w:rsid w:val="00C57157"/>
    <w:rsid w:val="00C571A1"/>
    <w:rsid w:val="00C571D9"/>
    <w:rsid w:val="00C572B3"/>
    <w:rsid w:val="00C572BF"/>
    <w:rsid w:val="00C5745A"/>
    <w:rsid w:val="00C57482"/>
    <w:rsid w:val="00C5748F"/>
    <w:rsid w:val="00C5757F"/>
    <w:rsid w:val="00C57663"/>
    <w:rsid w:val="00C57693"/>
    <w:rsid w:val="00C576C5"/>
    <w:rsid w:val="00C577D6"/>
    <w:rsid w:val="00C5782E"/>
    <w:rsid w:val="00C579DE"/>
    <w:rsid w:val="00C579F7"/>
    <w:rsid w:val="00C57A0B"/>
    <w:rsid w:val="00C57D1E"/>
    <w:rsid w:val="00C57DA6"/>
    <w:rsid w:val="00C57EC0"/>
    <w:rsid w:val="00C57F86"/>
    <w:rsid w:val="00C57FD9"/>
    <w:rsid w:val="00C600F8"/>
    <w:rsid w:val="00C601A5"/>
    <w:rsid w:val="00C601E3"/>
    <w:rsid w:val="00C6040B"/>
    <w:rsid w:val="00C60470"/>
    <w:rsid w:val="00C60476"/>
    <w:rsid w:val="00C60703"/>
    <w:rsid w:val="00C60743"/>
    <w:rsid w:val="00C60764"/>
    <w:rsid w:val="00C60848"/>
    <w:rsid w:val="00C608C2"/>
    <w:rsid w:val="00C6090A"/>
    <w:rsid w:val="00C60921"/>
    <w:rsid w:val="00C60A79"/>
    <w:rsid w:val="00C60BC7"/>
    <w:rsid w:val="00C60D82"/>
    <w:rsid w:val="00C60D8F"/>
    <w:rsid w:val="00C610A5"/>
    <w:rsid w:val="00C610D9"/>
    <w:rsid w:val="00C61196"/>
    <w:rsid w:val="00C611D9"/>
    <w:rsid w:val="00C6162D"/>
    <w:rsid w:val="00C616BD"/>
    <w:rsid w:val="00C617AF"/>
    <w:rsid w:val="00C6180D"/>
    <w:rsid w:val="00C61837"/>
    <w:rsid w:val="00C618C8"/>
    <w:rsid w:val="00C61B6B"/>
    <w:rsid w:val="00C61CC8"/>
    <w:rsid w:val="00C61CCD"/>
    <w:rsid w:val="00C61CEF"/>
    <w:rsid w:val="00C61CF0"/>
    <w:rsid w:val="00C61DA9"/>
    <w:rsid w:val="00C61E6C"/>
    <w:rsid w:val="00C61E84"/>
    <w:rsid w:val="00C61E93"/>
    <w:rsid w:val="00C61EC8"/>
    <w:rsid w:val="00C62481"/>
    <w:rsid w:val="00C62675"/>
    <w:rsid w:val="00C62843"/>
    <w:rsid w:val="00C6286B"/>
    <w:rsid w:val="00C62949"/>
    <w:rsid w:val="00C62960"/>
    <w:rsid w:val="00C6296A"/>
    <w:rsid w:val="00C62A28"/>
    <w:rsid w:val="00C62C19"/>
    <w:rsid w:val="00C62C48"/>
    <w:rsid w:val="00C62C89"/>
    <w:rsid w:val="00C62E08"/>
    <w:rsid w:val="00C62F6C"/>
    <w:rsid w:val="00C62FC5"/>
    <w:rsid w:val="00C63171"/>
    <w:rsid w:val="00C63434"/>
    <w:rsid w:val="00C6348E"/>
    <w:rsid w:val="00C634E4"/>
    <w:rsid w:val="00C63501"/>
    <w:rsid w:val="00C6367F"/>
    <w:rsid w:val="00C638A8"/>
    <w:rsid w:val="00C63987"/>
    <w:rsid w:val="00C63AE0"/>
    <w:rsid w:val="00C63BE7"/>
    <w:rsid w:val="00C63D07"/>
    <w:rsid w:val="00C63ED4"/>
    <w:rsid w:val="00C63F95"/>
    <w:rsid w:val="00C63FA8"/>
    <w:rsid w:val="00C64105"/>
    <w:rsid w:val="00C64241"/>
    <w:rsid w:val="00C64482"/>
    <w:rsid w:val="00C6457B"/>
    <w:rsid w:val="00C64614"/>
    <w:rsid w:val="00C646BC"/>
    <w:rsid w:val="00C64715"/>
    <w:rsid w:val="00C647D0"/>
    <w:rsid w:val="00C6485E"/>
    <w:rsid w:val="00C64869"/>
    <w:rsid w:val="00C648F3"/>
    <w:rsid w:val="00C64998"/>
    <w:rsid w:val="00C64C0F"/>
    <w:rsid w:val="00C64D2B"/>
    <w:rsid w:val="00C65165"/>
    <w:rsid w:val="00C6519D"/>
    <w:rsid w:val="00C6522F"/>
    <w:rsid w:val="00C65437"/>
    <w:rsid w:val="00C65447"/>
    <w:rsid w:val="00C65451"/>
    <w:rsid w:val="00C6548A"/>
    <w:rsid w:val="00C654DC"/>
    <w:rsid w:val="00C654E6"/>
    <w:rsid w:val="00C659B4"/>
    <w:rsid w:val="00C659E2"/>
    <w:rsid w:val="00C65B8C"/>
    <w:rsid w:val="00C65BA2"/>
    <w:rsid w:val="00C65E58"/>
    <w:rsid w:val="00C65E83"/>
    <w:rsid w:val="00C65E98"/>
    <w:rsid w:val="00C65EAD"/>
    <w:rsid w:val="00C65FCD"/>
    <w:rsid w:val="00C65FFD"/>
    <w:rsid w:val="00C66213"/>
    <w:rsid w:val="00C663A9"/>
    <w:rsid w:val="00C66412"/>
    <w:rsid w:val="00C66456"/>
    <w:rsid w:val="00C6673E"/>
    <w:rsid w:val="00C667D4"/>
    <w:rsid w:val="00C6680F"/>
    <w:rsid w:val="00C6681B"/>
    <w:rsid w:val="00C66B45"/>
    <w:rsid w:val="00C66C1B"/>
    <w:rsid w:val="00C66C9F"/>
    <w:rsid w:val="00C66D24"/>
    <w:rsid w:val="00C66F4B"/>
    <w:rsid w:val="00C670BA"/>
    <w:rsid w:val="00C67485"/>
    <w:rsid w:val="00C67503"/>
    <w:rsid w:val="00C67518"/>
    <w:rsid w:val="00C67657"/>
    <w:rsid w:val="00C6785F"/>
    <w:rsid w:val="00C67901"/>
    <w:rsid w:val="00C67988"/>
    <w:rsid w:val="00C67A29"/>
    <w:rsid w:val="00C67E10"/>
    <w:rsid w:val="00C67EA2"/>
    <w:rsid w:val="00C7024C"/>
    <w:rsid w:val="00C70273"/>
    <w:rsid w:val="00C702BB"/>
    <w:rsid w:val="00C70335"/>
    <w:rsid w:val="00C706C4"/>
    <w:rsid w:val="00C70784"/>
    <w:rsid w:val="00C707CC"/>
    <w:rsid w:val="00C708D8"/>
    <w:rsid w:val="00C7099F"/>
    <w:rsid w:val="00C70A60"/>
    <w:rsid w:val="00C70AD5"/>
    <w:rsid w:val="00C70AFE"/>
    <w:rsid w:val="00C70B34"/>
    <w:rsid w:val="00C70BA4"/>
    <w:rsid w:val="00C70C53"/>
    <w:rsid w:val="00C70D91"/>
    <w:rsid w:val="00C70FC8"/>
    <w:rsid w:val="00C71028"/>
    <w:rsid w:val="00C712F3"/>
    <w:rsid w:val="00C7134A"/>
    <w:rsid w:val="00C71382"/>
    <w:rsid w:val="00C7143E"/>
    <w:rsid w:val="00C715D4"/>
    <w:rsid w:val="00C716DE"/>
    <w:rsid w:val="00C71938"/>
    <w:rsid w:val="00C719D6"/>
    <w:rsid w:val="00C71C59"/>
    <w:rsid w:val="00C71D94"/>
    <w:rsid w:val="00C71E0A"/>
    <w:rsid w:val="00C71E7E"/>
    <w:rsid w:val="00C71E8F"/>
    <w:rsid w:val="00C71F7C"/>
    <w:rsid w:val="00C72171"/>
    <w:rsid w:val="00C7224F"/>
    <w:rsid w:val="00C722E1"/>
    <w:rsid w:val="00C7233B"/>
    <w:rsid w:val="00C7246A"/>
    <w:rsid w:val="00C72475"/>
    <w:rsid w:val="00C724A8"/>
    <w:rsid w:val="00C72520"/>
    <w:rsid w:val="00C72548"/>
    <w:rsid w:val="00C72597"/>
    <w:rsid w:val="00C725F8"/>
    <w:rsid w:val="00C726AA"/>
    <w:rsid w:val="00C72755"/>
    <w:rsid w:val="00C7289F"/>
    <w:rsid w:val="00C728EA"/>
    <w:rsid w:val="00C72A69"/>
    <w:rsid w:val="00C72AA7"/>
    <w:rsid w:val="00C72B1A"/>
    <w:rsid w:val="00C72DC7"/>
    <w:rsid w:val="00C72E30"/>
    <w:rsid w:val="00C72F09"/>
    <w:rsid w:val="00C72F0B"/>
    <w:rsid w:val="00C732E8"/>
    <w:rsid w:val="00C73437"/>
    <w:rsid w:val="00C73491"/>
    <w:rsid w:val="00C734E4"/>
    <w:rsid w:val="00C7362A"/>
    <w:rsid w:val="00C73633"/>
    <w:rsid w:val="00C73643"/>
    <w:rsid w:val="00C737E8"/>
    <w:rsid w:val="00C737F6"/>
    <w:rsid w:val="00C73844"/>
    <w:rsid w:val="00C73927"/>
    <w:rsid w:val="00C739D2"/>
    <w:rsid w:val="00C73C5B"/>
    <w:rsid w:val="00C73CA0"/>
    <w:rsid w:val="00C73DE3"/>
    <w:rsid w:val="00C73EBE"/>
    <w:rsid w:val="00C73F6E"/>
    <w:rsid w:val="00C73FB1"/>
    <w:rsid w:val="00C73FC7"/>
    <w:rsid w:val="00C73FDB"/>
    <w:rsid w:val="00C740F6"/>
    <w:rsid w:val="00C742A9"/>
    <w:rsid w:val="00C742D1"/>
    <w:rsid w:val="00C7444C"/>
    <w:rsid w:val="00C744DA"/>
    <w:rsid w:val="00C74770"/>
    <w:rsid w:val="00C74B40"/>
    <w:rsid w:val="00C74BA3"/>
    <w:rsid w:val="00C74C0B"/>
    <w:rsid w:val="00C74D22"/>
    <w:rsid w:val="00C74E65"/>
    <w:rsid w:val="00C74FB8"/>
    <w:rsid w:val="00C751EF"/>
    <w:rsid w:val="00C7527D"/>
    <w:rsid w:val="00C75471"/>
    <w:rsid w:val="00C754DA"/>
    <w:rsid w:val="00C754E8"/>
    <w:rsid w:val="00C7550A"/>
    <w:rsid w:val="00C75515"/>
    <w:rsid w:val="00C75636"/>
    <w:rsid w:val="00C7567A"/>
    <w:rsid w:val="00C758E5"/>
    <w:rsid w:val="00C75965"/>
    <w:rsid w:val="00C75A11"/>
    <w:rsid w:val="00C75C41"/>
    <w:rsid w:val="00C75DCB"/>
    <w:rsid w:val="00C75DF2"/>
    <w:rsid w:val="00C75E81"/>
    <w:rsid w:val="00C75F0A"/>
    <w:rsid w:val="00C7602C"/>
    <w:rsid w:val="00C76191"/>
    <w:rsid w:val="00C761BD"/>
    <w:rsid w:val="00C763E1"/>
    <w:rsid w:val="00C763FF"/>
    <w:rsid w:val="00C76410"/>
    <w:rsid w:val="00C76450"/>
    <w:rsid w:val="00C76492"/>
    <w:rsid w:val="00C7653F"/>
    <w:rsid w:val="00C76665"/>
    <w:rsid w:val="00C767AE"/>
    <w:rsid w:val="00C76A05"/>
    <w:rsid w:val="00C76A71"/>
    <w:rsid w:val="00C76A85"/>
    <w:rsid w:val="00C76AEC"/>
    <w:rsid w:val="00C76CFB"/>
    <w:rsid w:val="00C77110"/>
    <w:rsid w:val="00C77200"/>
    <w:rsid w:val="00C774AC"/>
    <w:rsid w:val="00C7752A"/>
    <w:rsid w:val="00C77856"/>
    <w:rsid w:val="00C77B46"/>
    <w:rsid w:val="00C77BC3"/>
    <w:rsid w:val="00C77C4F"/>
    <w:rsid w:val="00C77F02"/>
    <w:rsid w:val="00C77FE3"/>
    <w:rsid w:val="00C80105"/>
    <w:rsid w:val="00C8025B"/>
    <w:rsid w:val="00C805C8"/>
    <w:rsid w:val="00C80650"/>
    <w:rsid w:val="00C80864"/>
    <w:rsid w:val="00C80A63"/>
    <w:rsid w:val="00C80A88"/>
    <w:rsid w:val="00C80BBE"/>
    <w:rsid w:val="00C80C1C"/>
    <w:rsid w:val="00C80C4E"/>
    <w:rsid w:val="00C80CDE"/>
    <w:rsid w:val="00C80D09"/>
    <w:rsid w:val="00C80D5C"/>
    <w:rsid w:val="00C80D6E"/>
    <w:rsid w:val="00C80E5A"/>
    <w:rsid w:val="00C81083"/>
    <w:rsid w:val="00C81191"/>
    <w:rsid w:val="00C8154B"/>
    <w:rsid w:val="00C81691"/>
    <w:rsid w:val="00C816AE"/>
    <w:rsid w:val="00C81719"/>
    <w:rsid w:val="00C81752"/>
    <w:rsid w:val="00C81781"/>
    <w:rsid w:val="00C81842"/>
    <w:rsid w:val="00C81930"/>
    <w:rsid w:val="00C81ACD"/>
    <w:rsid w:val="00C81B88"/>
    <w:rsid w:val="00C81D92"/>
    <w:rsid w:val="00C81DD2"/>
    <w:rsid w:val="00C81E9A"/>
    <w:rsid w:val="00C81FD3"/>
    <w:rsid w:val="00C8217B"/>
    <w:rsid w:val="00C8224C"/>
    <w:rsid w:val="00C8224E"/>
    <w:rsid w:val="00C82295"/>
    <w:rsid w:val="00C822CD"/>
    <w:rsid w:val="00C822E8"/>
    <w:rsid w:val="00C8238C"/>
    <w:rsid w:val="00C8258E"/>
    <w:rsid w:val="00C82688"/>
    <w:rsid w:val="00C82759"/>
    <w:rsid w:val="00C8287D"/>
    <w:rsid w:val="00C82938"/>
    <w:rsid w:val="00C82B07"/>
    <w:rsid w:val="00C82E0F"/>
    <w:rsid w:val="00C82E4E"/>
    <w:rsid w:val="00C82E94"/>
    <w:rsid w:val="00C82E9E"/>
    <w:rsid w:val="00C83152"/>
    <w:rsid w:val="00C8355B"/>
    <w:rsid w:val="00C835A2"/>
    <w:rsid w:val="00C8362B"/>
    <w:rsid w:val="00C83635"/>
    <w:rsid w:val="00C837B1"/>
    <w:rsid w:val="00C83823"/>
    <w:rsid w:val="00C83827"/>
    <w:rsid w:val="00C83ACB"/>
    <w:rsid w:val="00C83B27"/>
    <w:rsid w:val="00C83B5F"/>
    <w:rsid w:val="00C83C51"/>
    <w:rsid w:val="00C83DEF"/>
    <w:rsid w:val="00C83E23"/>
    <w:rsid w:val="00C83E9D"/>
    <w:rsid w:val="00C84137"/>
    <w:rsid w:val="00C84256"/>
    <w:rsid w:val="00C84329"/>
    <w:rsid w:val="00C8447E"/>
    <w:rsid w:val="00C844D9"/>
    <w:rsid w:val="00C846A2"/>
    <w:rsid w:val="00C847AF"/>
    <w:rsid w:val="00C84A37"/>
    <w:rsid w:val="00C84A9A"/>
    <w:rsid w:val="00C84B3C"/>
    <w:rsid w:val="00C84EE6"/>
    <w:rsid w:val="00C85010"/>
    <w:rsid w:val="00C85055"/>
    <w:rsid w:val="00C852B4"/>
    <w:rsid w:val="00C85358"/>
    <w:rsid w:val="00C853A2"/>
    <w:rsid w:val="00C8553A"/>
    <w:rsid w:val="00C85808"/>
    <w:rsid w:val="00C858DC"/>
    <w:rsid w:val="00C8590C"/>
    <w:rsid w:val="00C859D5"/>
    <w:rsid w:val="00C85BBE"/>
    <w:rsid w:val="00C85BDA"/>
    <w:rsid w:val="00C85CDA"/>
    <w:rsid w:val="00C85D16"/>
    <w:rsid w:val="00C85D50"/>
    <w:rsid w:val="00C86013"/>
    <w:rsid w:val="00C86032"/>
    <w:rsid w:val="00C86109"/>
    <w:rsid w:val="00C8619D"/>
    <w:rsid w:val="00C861FC"/>
    <w:rsid w:val="00C86280"/>
    <w:rsid w:val="00C86347"/>
    <w:rsid w:val="00C86377"/>
    <w:rsid w:val="00C863A1"/>
    <w:rsid w:val="00C86776"/>
    <w:rsid w:val="00C86785"/>
    <w:rsid w:val="00C86802"/>
    <w:rsid w:val="00C8680E"/>
    <w:rsid w:val="00C86953"/>
    <w:rsid w:val="00C86A2B"/>
    <w:rsid w:val="00C86D3F"/>
    <w:rsid w:val="00C86EE5"/>
    <w:rsid w:val="00C86F5F"/>
    <w:rsid w:val="00C86F63"/>
    <w:rsid w:val="00C87031"/>
    <w:rsid w:val="00C872EC"/>
    <w:rsid w:val="00C874BF"/>
    <w:rsid w:val="00C87939"/>
    <w:rsid w:val="00C87953"/>
    <w:rsid w:val="00C87B20"/>
    <w:rsid w:val="00C87E33"/>
    <w:rsid w:val="00C87FA9"/>
    <w:rsid w:val="00C900C1"/>
    <w:rsid w:val="00C9013E"/>
    <w:rsid w:val="00C905CD"/>
    <w:rsid w:val="00C905E9"/>
    <w:rsid w:val="00C90881"/>
    <w:rsid w:val="00C9090B"/>
    <w:rsid w:val="00C90978"/>
    <w:rsid w:val="00C90B62"/>
    <w:rsid w:val="00C90CC2"/>
    <w:rsid w:val="00C90EA1"/>
    <w:rsid w:val="00C91035"/>
    <w:rsid w:val="00C91181"/>
    <w:rsid w:val="00C91189"/>
    <w:rsid w:val="00C91215"/>
    <w:rsid w:val="00C91317"/>
    <w:rsid w:val="00C91347"/>
    <w:rsid w:val="00C9143D"/>
    <w:rsid w:val="00C91668"/>
    <w:rsid w:val="00C916A8"/>
    <w:rsid w:val="00C91937"/>
    <w:rsid w:val="00C91955"/>
    <w:rsid w:val="00C91978"/>
    <w:rsid w:val="00C919A1"/>
    <w:rsid w:val="00C91A42"/>
    <w:rsid w:val="00C91C87"/>
    <w:rsid w:val="00C91C9E"/>
    <w:rsid w:val="00C91F18"/>
    <w:rsid w:val="00C91F37"/>
    <w:rsid w:val="00C922D6"/>
    <w:rsid w:val="00C92404"/>
    <w:rsid w:val="00C92415"/>
    <w:rsid w:val="00C92518"/>
    <w:rsid w:val="00C92539"/>
    <w:rsid w:val="00C925BE"/>
    <w:rsid w:val="00C92651"/>
    <w:rsid w:val="00C926B2"/>
    <w:rsid w:val="00C926B4"/>
    <w:rsid w:val="00C9288B"/>
    <w:rsid w:val="00C928A5"/>
    <w:rsid w:val="00C928DD"/>
    <w:rsid w:val="00C929E0"/>
    <w:rsid w:val="00C92A32"/>
    <w:rsid w:val="00C92BC3"/>
    <w:rsid w:val="00C92C1F"/>
    <w:rsid w:val="00C92F93"/>
    <w:rsid w:val="00C93067"/>
    <w:rsid w:val="00C93079"/>
    <w:rsid w:val="00C9309F"/>
    <w:rsid w:val="00C930FF"/>
    <w:rsid w:val="00C93444"/>
    <w:rsid w:val="00C9361A"/>
    <w:rsid w:val="00C93865"/>
    <w:rsid w:val="00C93B60"/>
    <w:rsid w:val="00C93D6D"/>
    <w:rsid w:val="00C93F42"/>
    <w:rsid w:val="00C93F91"/>
    <w:rsid w:val="00C94147"/>
    <w:rsid w:val="00C941B4"/>
    <w:rsid w:val="00C945A4"/>
    <w:rsid w:val="00C9473A"/>
    <w:rsid w:val="00C94AB5"/>
    <w:rsid w:val="00C94B09"/>
    <w:rsid w:val="00C94B75"/>
    <w:rsid w:val="00C94B9B"/>
    <w:rsid w:val="00C94C73"/>
    <w:rsid w:val="00C94CCF"/>
    <w:rsid w:val="00C94D67"/>
    <w:rsid w:val="00C94F08"/>
    <w:rsid w:val="00C94FD4"/>
    <w:rsid w:val="00C9503D"/>
    <w:rsid w:val="00C951F1"/>
    <w:rsid w:val="00C9525A"/>
    <w:rsid w:val="00C9534E"/>
    <w:rsid w:val="00C956B2"/>
    <w:rsid w:val="00C95810"/>
    <w:rsid w:val="00C95B6F"/>
    <w:rsid w:val="00C95C55"/>
    <w:rsid w:val="00C95C60"/>
    <w:rsid w:val="00C95D0B"/>
    <w:rsid w:val="00C95D97"/>
    <w:rsid w:val="00C95DB4"/>
    <w:rsid w:val="00C95E53"/>
    <w:rsid w:val="00C95FA7"/>
    <w:rsid w:val="00C9641E"/>
    <w:rsid w:val="00C96436"/>
    <w:rsid w:val="00C9653C"/>
    <w:rsid w:val="00C9656E"/>
    <w:rsid w:val="00C968B5"/>
    <w:rsid w:val="00C96A13"/>
    <w:rsid w:val="00C96BEE"/>
    <w:rsid w:val="00C96F55"/>
    <w:rsid w:val="00C9701D"/>
    <w:rsid w:val="00C9710C"/>
    <w:rsid w:val="00C9713B"/>
    <w:rsid w:val="00C97180"/>
    <w:rsid w:val="00C971DF"/>
    <w:rsid w:val="00C971E3"/>
    <w:rsid w:val="00C97494"/>
    <w:rsid w:val="00C9750D"/>
    <w:rsid w:val="00C97571"/>
    <w:rsid w:val="00C9759D"/>
    <w:rsid w:val="00C975DE"/>
    <w:rsid w:val="00C9760D"/>
    <w:rsid w:val="00C97710"/>
    <w:rsid w:val="00C9775C"/>
    <w:rsid w:val="00C97767"/>
    <w:rsid w:val="00C977A6"/>
    <w:rsid w:val="00C977BF"/>
    <w:rsid w:val="00C978E4"/>
    <w:rsid w:val="00C978FD"/>
    <w:rsid w:val="00C979AB"/>
    <w:rsid w:val="00C97A09"/>
    <w:rsid w:val="00C97A1D"/>
    <w:rsid w:val="00C97A57"/>
    <w:rsid w:val="00C97AAC"/>
    <w:rsid w:val="00C97D77"/>
    <w:rsid w:val="00C97DAF"/>
    <w:rsid w:val="00C97E4A"/>
    <w:rsid w:val="00CA01CF"/>
    <w:rsid w:val="00CA035B"/>
    <w:rsid w:val="00CA03E1"/>
    <w:rsid w:val="00CA04C4"/>
    <w:rsid w:val="00CA06E8"/>
    <w:rsid w:val="00CA0989"/>
    <w:rsid w:val="00CA099A"/>
    <w:rsid w:val="00CA0A83"/>
    <w:rsid w:val="00CA0B80"/>
    <w:rsid w:val="00CA0BDA"/>
    <w:rsid w:val="00CA0E17"/>
    <w:rsid w:val="00CA1100"/>
    <w:rsid w:val="00CA116E"/>
    <w:rsid w:val="00CA128F"/>
    <w:rsid w:val="00CA12BD"/>
    <w:rsid w:val="00CA12EF"/>
    <w:rsid w:val="00CA130C"/>
    <w:rsid w:val="00CA1334"/>
    <w:rsid w:val="00CA1391"/>
    <w:rsid w:val="00CA13F0"/>
    <w:rsid w:val="00CA1432"/>
    <w:rsid w:val="00CA1448"/>
    <w:rsid w:val="00CA1546"/>
    <w:rsid w:val="00CA156C"/>
    <w:rsid w:val="00CA17E9"/>
    <w:rsid w:val="00CA1998"/>
    <w:rsid w:val="00CA1A81"/>
    <w:rsid w:val="00CA1ACA"/>
    <w:rsid w:val="00CA1E4A"/>
    <w:rsid w:val="00CA1EB2"/>
    <w:rsid w:val="00CA1FFB"/>
    <w:rsid w:val="00CA2020"/>
    <w:rsid w:val="00CA2139"/>
    <w:rsid w:val="00CA22C2"/>
    <w:rsid w:val="00CA2359"/>
    <w:rsid w:val="00CA248D"/>
    <w:rsid w:val="00CA260F"/>
    <w:rsid w:val="00CA2634"/>
    <w:rsid w:val="00CA2659"/>
    <w:rsid w:val="00CA289F"/>
    <w:rsid w:val="00CA28BF"/>
    <w:rsid w:val="00CA291D"/>
    <w:rsid w:val="00CA293E"/>
    <w:rsid w:val="00CA29C6"/>
    <w:rsid w:val="00CA29C9"/>
    <w:rsid w:val="00CA2AB3"/>
    <w:rsid w:val="00CA2BC1"/>
    <w:rsid w:val="00CA2CB2"/>
    <w:rsid w:val="00CA2F53"/>
    <w:rsid w:val="00CA2FD8"/>
    <w:rsid w:val="00CA301F"/>
    <w:rsid w:val="00CA3155"/>
    <w:rsid w:val="00CA33A2"/>
    <w:rsid w:val="00CA33B1"/>
    <w:rsid w:val="00CA3606"/>
    <w:rsid w:val="00CA371C"/>
    <w:rsid w:val="00CA3855"/>
    <w:rsid w:val="00CA390C"/>
    <w:rsid w:val="00CA3AC9"/>
    <w:rsid w:val="00CA3AD9"/>
    <w:rsid w:val="00CA3B69"/>
    <w:rsid w:val="00CA3B6B"/>
    <w:rsid w:val="00CA3B79"/>
    <w:rsid w:val="00CA3C34"/>
    <w:rsid w:val="00CA3E01"/>
    <w:rsid w:val="00CA3E4F"/>
    <w:rsid w:val="00CA3F53"/>
    <w:rsid w:val="00CA3F9F"/>
    <w:rsid w:val="00CA4093"/>
    <w:rsid w:val="00CA40A2"/>
    <w:rsid w:val="00CA41C6"/>
    <w:rsid w:val="00CA432E"/>
    <w:rsid w:val="00CA4434"/>
    <w:rsid w:val="00CA4638"/>
    <w:rsid w:val="00CA4681"/>
    <w:rsid w:val="00CA4697"/>
    <w:rsid w:val="00CA487E"/>
    <w:rsid w:val="00CA49FB"/>
    <w:rsid w:val="00CA4A91"/>
    <w:rsid w:val="00CA4C2B"/>
    <w:rsid w:val="00CA4C8C"/>
    <w:rsid w:val="00CA4D5B"/>
    <w:rsid w:val="00CA4D75"/>
    <w:rsid w:val="00CA4E6A"/>
    <w:rsid w:val="00CA4E82"/>
    <w:rsid w:val="00CA4F09"/>
    <w:rsid w:val="00CA4F22"/>
    <w:rsid w:val="00CA519C"/>
    <w:rsid w:val="00CA5209"/>
    <w:rsid w:val="00CA5274"/>
    <w:rsid w:val="00CA52F7"/>
    <w:rsid w:val="00CA542D"/>
    <w:rsid w:val="00CA5433"/>
    <w:rsid w:val="00CA54F0"/>
    <w:rsid w:val="00CA554B"/>
    <w:rsid w:val="00CA5585"/>
    <w:rsid w:val="00CA583A"/>
    <w:rsid w:val="00CA5C5E"/>
    <w:rsid w:val="00CA5D0B"/>
    <w:rsid w:val="00CA5E1F"/>
    <w:rsid w:val="00CA5F9A"/>
    <w:rsid w:val="00CA6143"/>
    <w:rsid w:val="00CA6193"/>
    <w:rsid w:val="00CA622A"/>
    <w:rsid w:val="00CA63C4"/>
    <w:rsid w:val="00CA64C7"/>
    <w:rsid w:val="00CA651A"/>
    <w:rsid w:val="00CA6638"/>
    <w:rsid w:val="00CA67A8"/>
    <w:rsid w:val="00CA67F0"/>
    <w:rsid w:val="00CA69F3"/>
    <w:rsid w:val="00CA6BFD"/>
    <w:rsid w:val="00CA6D1B"/>
    <w:rsid w:val="00CA6D22"/>
    <w:rsid w:val="00CA6D5A"/>
    <w:rsid w:val="00CA6DCE"/>
    <w:rsid w:val="00CA6F10"/>
    <w:rsid w:val="00CA6FF2"/>
    <w:rsid w:val="00CA703F"/>
    <w:rsid w:val="00CA7179"/>
    <w:rsid w:val="00CA72BC"/>
    <w:rsid w:val="00CA7332"/>
    <w:rsid w:val="00CA7351"/>
    <w:rsid w:val="00CA7411"/>
    <w:rsid w:val="00CA768F"/>
    <w:rsid w:val="00CA76AD"/>
    <w:rsid w:val="00CA7739"/>
    <w:rsid w:val="00CA7807"/>
    <w:rsid w:val="00CA781F"/>
    <w:rsid w:val="00CA788C"/>
    <w:rsid w:val="00CA798E"/>
    <w:rsid w:val="00CA79FE"/>
    <w:rsid w:val="00CA7ABD"/>
    <w:rsid w:val="00CA7AD8"/>
    <w:rsid w:val="00CA7B19"/>
    <w:rsid w:val="00CA7B81"/>
    <w:rsid w:val="00CA7EC7"/>
    <w:rsid w:val="00CA7FD4"/>
    <w:rsid w:val="00CB001D"/>
    <w:rsid w:val="00CB0137"/>
    <w:rsid w:val="00CB0299"/>
    <w:rsid w:val="00CB03EE"/>
    <w:rsid w:val="00CB04EC"/>
    <w:rsid w:val="00CB05C1"/>
    <w:rsid w:val="00CB05D1"/>
    <w:rsid w:val="00CB0702"/>
    <w:rsid w:val="00CB0760"/>
    <w:rsid w:val="00CB08D7"/>
    <w:rsid w:val="00CB09CD"/>
    <w:rsid w:val="00CB0A4A"/>
    <w:rsid w:val="00CB0AFD"/>
    <w:rsid w:val="00CB0B74"/>
    <w:rsid w:val="00CB0C4C"/>
    <w:rsid w:val="00CB0EA7"/>
    <w:rsid w:val="00CB0FF0"/>
    <w:rsid w:val="00CB1094"/>
    <w:rsid w:val="00CB10DA"/>
    <w:rsid w:val="00CB116A"/>
    <w:rsid w:val="00CB11AD"/>
    <w:rsid w:val="00CB1254"/>
    <w:rsid w:val="00CB136A"/>
    <w:rsid w:val="00CB14E4"/>
    <w:rsid w:val="00CB1642"/>
    <w:rsid w:val="00CB1650"/>
    <w:rsid w:val="00CB1661"/>
    <w:rsid w:val="00CB1943"/>
    <w:rsid w:val="00CB1972"/>
    <w:rsid w:val="00CB1A20"/>
    <w:rsid w:val="00CB1ADD"/>
    <w:rsid w:val="00CB2206"/>
    <w:rsid w:val="00CB221C"/>
    <w:rsid w:val="00CB22FA"/>
    <w:rsid w:val="00CB2358"/>
    <w:rsid w:val="00CB23B1"/>
    <w:rsid w:val="00CB23C3"/>
    <w:rsid w:val="00CB23D4"/>
    <w:rsid w:val="00CB25EC"/>
    <w:rsid w:val="00CB269D"/>
    <w:rsid w:val="00CB26B8"/>
    <w:rsid w:val="00CB2919"/>
    <w:rsid w:val="00CB2922"/>
    <w:rsid w:val="00CB2C55"/>
    <w:rsid w:val="00CB2DC4"/>
    <w:rsid w:val="00CB2E0A"/>
    <w:rsid w:val="00CB2EB1"/>
    <w:rsid w:val="00CB2EF2"/>
    <w:rsid w:val="00CB2EF6"/>
    <w:rsid w:val="00CB2F08"/>
    <w:rsid w:val="00CB302F"/>
    <w:rsid w:val="00CB30D7"/>
    <w:rsid w:val="00CB32E6"/>
    <w:rsid w:val="00CB3333"/>
    <w:rsid w:val="00CB333D"/>
    <w:rsid w:val="00CB362B"/>
    <w:rsid w:val="00CB363B"/>
    <w:rsid w:val="00CB3759"/>
    <w:rsid w:val="00CB3B27"/>
    <w:rsid w:val="00CB3BD5"/>
    <w:rsid w:val="00CB3CEE"/>
    <w:rsid w:val="00CB4314"/>
    <w:rsid w:val="00CB4387"/>
    <w:rsid w:val="00CB4443"/>
    <w:rsid w:val="00CB44BE"/>
    <w:rsid w:val="00CB457C"/>
    <w:rsid w:val="00CB49DB"/>
    <w:rsid w:val="00CB4A34"/>
    <w:rsid w:val="00CB4A7A"/>
    <w:rsid w:val="00CB4B0A"/>
    <w:rsid w:val="00CB4B6C"/>
    <w:rsid w:val="00CB4F79"/>
    <w:rsid w:val="00CB4FBE"/>
    <w:rsid w:val="00CB50A9"/>
    <w:rsid w:val="00CB5120"/>
    <w:rsid w:val="00CB5139"/>
    <w:rsid w:val="00CB5238"/>
    <w:rsid w:val="00CB533C"/>
    <w:rsid w:val="00CB53F2"/>
    <w:rsid w:val="00CB5494"/>
    <w:rsid w:val="00CB58C1"/>
    <w:rsid w:val="00CB5907"/>
    <w:rsid w:val="00CB59CF"/>
    <w:rsid w:val="00CB59E0"/>
    <w:rsid w:val="00CB59FC"/>
    <w:rsid w:val="00CB5B64"/>
    <w:rsid w:val="00CB5BEF"/>
    <w:rsid w:val="00CB5BF0"/>
    <w:rsid w:val="00CB5C8B"/>
    <w:rsid w:val="00CB5D33"/>
    <w:rsid w:val="00CB5D92"/>
    <w:rsid w:val="00CB5E9C"/>
    <w:rsid w:val="00CB5F0A"/>
    <w:rsid w:val="00CB6076"/>
    <w:rsid w:val="00CB613E"/>
    <w:rsid w:val="00CB624F"/>
    <w:rsid w:val="00CB634B"/>
    <w:rsid w:val="00CB63E1"/>
    <w:rsid w:val="00CB6452"/>
    <w:rsid w:val="00CB65C0"/>
    <w:rsid w:val="00CB6642"/>
    <w:rsid w:val="00CB664B"/>
    <w:rsid w:val="00CB66E1"/>
    <w:rsid w:val="00CB67B0"/>
    <w:rsid w:val="00CB68AF"/>
    <w:rsid w:val="00CB6980"/>
    <w:rsid w:val="00CB6A54"/>
    <w:rsid w:val="00CB6ABF"/>
    <w:rsid w:val="00CB6C2F"/>
    <w:rsid w:val="00CB6CB5"/>
    <w:rsid w:val="00CB6CC3"/>
    <w:rsid w:val="00CB6D68"/>
    <w:rsid w:val="00CB6E93"/>
    <w:rsid w:val="00CB6F88"/>
    <w:rsid w:val="00CB7053"/>
    <w:rsid w:val="00CB705A"/>
    <w:rsid w:val="00CB7123"/>
    <w:rsid w:val="00CB71A2"/>
    <w:rsid w:val="00CB71E0"/>
    <w:rsid w:val="00CB7317"/>
    <w:rsid w:val="00CB7337"/>
    <w:rsid w:val="00CB743D"/>
    <w:rsid w:val="00CB7495"/>
    <w:rsid w:val="00CB74B4"/>
    <w:rsid w:val="00CB7598"/>
    <w:rsid w:val="00CB76B2"/>
    <w:rsid w:val="00CB78CE"/>
    <w:rsid w:val="00CB78CF"/>
    <w:rsid w:val="00CB793D"/>
    <w:rsid w:val="00CB7A3F"/>
    <w:rsid w:val="00CB7AA9"/>
    <w:rsid w:val="00CB7AFE"/>
    <w:rsid w:val="00CB7B07"/>
    <w:rsid w:val="00CB7BA7"/>
    <w:rsid w:val="00CB7D74"/>
    <w:rsid w:val="00CB7D7F"/>
    <w:rsid w:val="00CB7DED"/>
    <w:rsid w:val="00CB7E22"/>
    <w:rsid w:val="00CB7EFD"/>
    <w:rsid w:val="00CC000A"/>
    <w:rsid w:val="00CC00F7"/>
    <w:rsid w:val="00CC01B6"/>
    <w:rsid w:val="00CC02B7"/>
    <w:rsid w:val="00CC0313"/>
    <w:rsid w:val="00CC03F7"/>
    <w:rsid w:val="00CC0404"/>
    <w:rsid w:val="00CC04EA"/>
    <w:rsid w:val="00CC0621"/>
    <w:rsid w:val="00CC06AA"/>
    <w:rsid w:val="00CC06D1"/>
    <w:rsid w:val="00CC0881"/>
    <w:rsid w:val="00CC08F6"/>
    <w:rsid w:val="00CC0934"/>
    <w:rsid w:val="00CC093A"/>
    <w:rsid w:val="00CC0D68"/>
    <w:rsid w:val="00CC0D6A"/>
    <w:rsid w:val="00CC0DCC"/>
    <w:rsid w:val="00CC0FCC"/>
    <w:rsid w:val="00CC10CC"/>
    <w:rsid w:val="00CC1135"/>
    <w:rsid w:val="00CC1170"/>
    <w:rsid w:val="00CC12A0"/>
    <w:rsid w:val="00CC139B"/>
    <w:rsid w:val="00CC1512"/>
    <w:rsid w:val="00CC1580"/>
    <w:rsid w:val="00CC16D8"/>
    <w:rsid w:val="00CC16DC"/>
    <w:rsid w:val="00CC18AC"/>
    <w:rsid w:val="00CC1901"/>
    <w:rsid w:val="00CC191F"/>
    <w:rsid w:val="00CC194A"/>
    <w:rsid w:val="00CC1979"/>
    <w:rsid w:val="00CC19E8"/>
    <w:rsid w:val="00CC1A90"/>
    <w:rsid w:val="00CC1C9D"/>
    <w:rsid w:val="00CC1CA4"/>
    <w:rsid w:val="00CC1DA8"/>
    <w:rsid w:val="00CC1DE5"/>
    <w:rsid w:val="00CC20D0"/>
    <w:rsid w:val="00CC220A"/>
    <w:rsid w:val="00CC2358"/>
    <w:rsid w:val="00CC2415"/>
    <w:rsid w:val="00CC24D8"/>
    <w:rsid w:val="00CC24E1"/>
    <w:rsid w:val="00CC24F2"/>
    <w:rsid w:val="00CC253B"/>
    <w:rsid w:val="00CC2656"/>
    <w:rsid w:val="00CC29A9"/>
    <w:rsid w:val="00CC2A3C"/>
    <w:rsid w:val="00CC2BF2"/>
    <w:rsid w:val="00CC2DF9"/>
    <w:rsid w:val="00CC2F76"/>
    <w:rsid w:val="00CC2F9E"/>
    <w:rsid w:val="00CC31B8"/>
    <w:rsid w:val="00CC3311"/>
    <w:rsid w:val="00CC3670"/>
    <w:rsid w:val="00CC37E7"/>
    <w:rsid w:val="00CC388E"/>
    <w:rsid w:val="00CC38B4"/>
    <w:rsid w:val="00CC39CD"/>
    <w:rsid w:val="00CC3A0D"/>
    <w:rsid w:val="00CC3DC7"/>
    <w:rsid w:val="00CC3ECA"/>
    <w:rsid w:val="00CC40B5"/>
    <w:rsid w:val="00CC40D5"/>
    <w:rsid w:val="00CC4186"/>
    <w:rsid w:val="00CC4189"/>
    <w:rsid w:val="00CC41B5"/>
    <w:rsid w:val="00CC427E"/>
    <w:rsid w:val="00CC42A9"/>
    <w:rsid w:val="00CC4790"/>
    <w:rsid w:val="00CC47E0"/>
    <w:rsid w:val="00CC486B"/>
    <w:rsid w:val="00CC4A4D"/>
    <w:rsid w:val="00CC4B58"/>
    <w:rsid w:val="00CC4BB4"/>
    <w:rsid w:val="00CC4C98"/>
    <w:rsid w:val="00CC4D0E"/>
    <w:rsid w:val="00CC4D63"/>
    <w:rsid w:val="00CC4DF6"/>
    <w:rsid w:val="00CC4E57"/>
    <w:rsid w:val="00CC4E6D"/>
    <w:rsid w:val="00CC5245"/>
    <w:rsid w:val="00CC534C"/>
    <w:rsid w:val="00CC5464"/>
    <w:rsid w:val="00CC5501"/>
    <w:rsid w:val="00CC5502"/>
    <w:rsid w:val="00CC55A1"/>
    <w:rsid w:val="00CC55C8"/>
    <w:rsid w:val="00CC5622"/>
    <w:rsid w:val="00CC5637"/>
    <w:rsid w:val="00CC56B8"/>
    <w:rsid w:val="00CC59AB"/>
    <w:rsid w:val="00CC5A2D"/>
    <w:rsid w:val="00CC5BE6"/>
    <w:rsid w:val="00CC5CB7"/>
    <w:rsid w:val="00CC5CD4"/>
    <w:rsid w:val="00CC5D68"/>
    <w:rsid w:val="00CC6151"/>
    <w:rsid w:val="00CC6276"/>
    <w:rsid w:val="00CC62BE"/>
    <w:rsid w:val="00CC63B0"/>
    <w:rsid w:val="00CC6665"/>
    <w:rsid w:val="00CC684D"/>
    <w:rsid w:val="00CC68BD"/>
    <w:rsid w:val="00CC69D8"/>
    <w:rsid w:val="00CC6A8D"/>
    <w:rsid w:val="00CC6A8E"/>
    <w:rsid w:val="00CC6AB6"/>
    <w:rsid w:val="00CC6AF0"/>
    <w:rsid w:val="00CC6BCB"/>
    <w:rsid w:val="00CC6BEF"/>
    <w:rsid w:val="00CC6DD7"/>
    <w:rsid w:val="00CC6E1C"/>
    <w:rsid w:val="00CC702D"/>
    <w:rsid w:val="00CC7194"/>
    <w:rsid w:val="00CC71A7"/>
    <w:rsid w:val="00CC73A5"/>
    <w:rsid w:val="00CC749E"/>
    <w:rsid w:val="00CC7610"/>
    <w:rsid w:val="00CC7770"/>
    <w:rsid w:val="00CC777B"/>
    <w:rsid w:val="00CC7A3F"/>
    <w:rsid w:val="00CC7A88"/>
    <w:rsid w:val="00CC7CC1"/>
    <w:rsid w:val="00CC7DC7"/>
    <w:rsid w:val="00CC7DE1"/>
    <w:rsid w:val="00CC7E4D"/>
    <w:rsid w:val="00CC7F3F"/>
    <w:rsid w:val="00CD0041"/>
    <w:rsid w:val="00CD00C4"/>
    <w:rsid w:val="00CD010E"/>
    <w:rsid w:val="00CD02B6"/>
    <w:rsid w:val="00CD046A"/>
    <w:rsid w:val="00CD048B"/>
    <w:rsid w:val="00CD053A"/>
    <w:rsid w:val="00CD056D"/>
    <w:rsid w:val="00CD0618"/>
    <w:rsid w:val="00CD06AF"/>
    <w:rsid w:val="00CD080D"/>
    <w:rsid w:val="00CD099B"/>
    <w:rsid w:val="00CD0A31"/>
    <w:rsid w:val="00CD0BEF"/>
    <w:rsid w:val="00CD0C17"/>
    <w:rsid w:val="00CD0C7D"/>
    <w:rsid w:val="00CD0CC7"/>
    <w:rsid w:val="00CD0E7E"/>
    <w:rsid w:val="00CD0EBF"/>
    <w:rsid w:val="00CD0EC1"/>
    <w:rsid w:val="00CD0F73"/>
    <w:rsid w:val="00CD0FF8"/>
    <w:rsid w:val="00CD10B9"/>
    <w:rsid w:val="00CD124D"/>
    <w:rsid w:val="00CD1681"/>
    <w:rsid w:val="00CD17BB"/>
    <w:rsid w:val="00CD1A36"/>
    <w:rsid w:val="00CD1B41"/>
    <w:rsid w:val="00CD1C01"/>
    <w:rsid w:val="00CD1C14"/>
    <w:rsid w:val="00CD1C74"/>
    <w:rsid w:val="00CD1CAA"/>
    <w:rsid w:val="00CD1D48"/>
    <w:rsid w:val="00CD1DD6"/>
    <w:rsid w:val="00CD1DD8"/>
    <w:rsid w:val="00CD1F58"/>
    <w:rsid w:val="00CD205D"/>
    <w:rsid w:val="00CD225E"/>
    <w:rsid w:val="00CD25A6"/>
    <w:rsid w:val="00CD25A9"/>
    <w:rsid w:val="00CD2602"/>
    <w:rsid w:val="00CD2660"/>
    <w:rsid w:val="00CD2A6E"/>
    <w:rsid w:val="00CD2AA1"/>
    <w:rsid w:val="00CD2BAA"/>
    <w:rsid w:val="00CD2BF6"/>
    <w:rsid w:val="00CD2CE6"/>
    <w:rsid w:val="00CD2D46"/>
    <w:rsid w:val="00CD2D4C"/>
    <w:rsid w:val="00CD2E80"/>
    <w:rsid w:val="00CD2F58"/>
    <w:rsid w:val="00CD31A3"/>
    <w:rsid w:val="00CD32C5"/>
    <w:rsid w:val="00CD350C"/>
    <w:rsid w:val="00CD3619"/>
    <w:rsid w:val="00CD3631"/>
    <w:rsid w:val="00CD3A26"/>
    <w:rsid w:val="00CD3A55"/>
    <w:rsid w:val="00CD3D73"/>
    <w:rsid w:val="00CD3D7A"/>
    <w:rsid w:val="00CD3DEB"/>
    <w:rsid w:val="00CD3F54"/>
    <w:rsid w:val="00CD412A"/>
    <w:rsid w:val="00CD436C"/>
    <w:rsid w:val="00CD437B"/>
    <w:rsid w:val="00CD43CC"/>
    <w:rsid w:val="00CD43DF"/>
    <w:rsid w:val="00CD44A7"/>
    <w:rsid w:val="00CD455C"/>
    <w:rsid w:val="00CD4633"/>
    <w:rsid w:val="00CD46FD"/>
    <w:rsid w:val="00CD484D"/>
    <w:rsid w:val="00CD488D"/>
    <w:rsid w:val="00CD49D7"/>
    <w:rsid w:val="00CD4A66"/>
    <w:rsid w:val="00CD4B23"/>
    <w:rsid w:val="00CD4CAF"/>
    <w:rsid w:val="00CD4D01"/>
    <w:rsid w:val="00CD4DD0"/>
    <w:rsid w:val="00CD4F62"/>
    <w:rsid w:val="00CD50A0"/>
    <w:rsid w:val="00CD520B"/>
    <w:rsid w:val="00CD52E7"/>
    <w:rsid w:val="00CD5325"/>
    <w:rsid w:val="00CD5406"/>
    <w:rsid w:val="00CD544A"/>
    <w:rsid w:val="00CD557B"/>
    <w:rsid w:val="00CD5664"/>
    <w:rsid w:val="00CD57C9"/>
    <w:rsid w:val="00CD58EE"/>
    <w:rsid w:val="00CD5B97"/>
    <w:rsid w:val="00CD5C44"/>
    <w:rsid w:val="00CD5CDA"/>
    <w:rsid w:val="00CD5CF4"/>
    <w:rsid w:val="00CD5D8A"/>
    <w:rsid w:val="00CD5EB4"/>
    <w:rsid w:val="00CD5F1A"/>
    <w:rsid w:val="00CD60B5"/>
    <w:rsid w:val="00CD60D0"/>
    <w:rsid w:val="00CD61DC"/>
    <w:rsid w:val="00CD62F0"/>
    <w:rsid w:val="00CD653F"/>
    <w:rsid w:val="00CD65D1"/>
    <w:rsid w:val="00CD693B"/>
    <w:rsid w:val="00CD69AF"/>
    <w:rsid w:val="00CD6AD6"/>
    <w:rsid w:val="00CD6B0B"/>
    <w:rsid w:val="00CD6B58"/>
    <w:rsid w:val="00CD6C94"/>
    <w:rsid w:val="00CD6D15"/>
    <w:rsid w:val="00CD6D1C"/>
    <w:rsid w:val="00CD6DCD"/>
    <w:rsid w:val="00CD6FAA"/>
    <w:rsid w:val="00CD717D"/>
    <w:rsid w:val="00CD7286"/>
    <w:rsid w:val="00CD72DA"/>
    <w:rsid w:val="00CD7372"/>
    <w:rsid w:val="00CD754D"/>
    <w:rsid w:val="00CD772B"/>
    <w:rsid w:val="00CD784D"/>
    <w:rsid w:val="00CD787B"/>
    <w:rsid w:val="00CD78B3"/>
    <w:rsid w:val="00CD78E1"/>
    <w:rsid w:val="00CD7CA0"/>
    <w:rsid w:val="00CD7CD1"/>
    <w:rsid w:val="00CE01FA"/>
    <w:rsid w:val="00CE031D"/>
    <w:rsid w:val="00CE0327"/>
    <w:rsid w:val="00CE034F"/>
    <w:rsid w:val="00CE03B6"/>
    <w:rsid w:val="00CE04A0"/>
    <w:rsid w:val="00CE0531"/>
    <w:rsid w:val="00CE060C"/>
    <w:rsid w:val="00CE091B"/>
    <w:rsid w:val="00CE09A5"/>
    <w:rsid w:val="00CE0C53"/>
    <w:rsid w:val="00CE0C6C"/>
    <w:rsid w:val="00CE0CDD"/>
    <w:rsid w:val="00CE0D2C"/>
    <w:rsid w:val="00CE0F5A"/>
    <w:rsid w:val="00CE12A5"/>
    <w:rsid w:val="00CE1359"/>
    <w:rsid w:val="00CE13D0"/>
    <w:rsid w:val="00CE13D8"/>
    <w:rsid w:val="00CE1524"/>
    <w:rsid w:val="00CE1594"/>
    <w:rsid w:val="00CE171F"/>
    <w:rsid w:val="00CE191D"/>
    <w:rsid w:val="00CE1985"/>
    <w:rsid w:val="00CE19E8"/>
    <w:rsid w:val="00CE1A91"/>
    <w:rsid w:val="00CE1B73"/>
    <w:rsid w:val="00CE1C44"/>
    <w:rsid w:val="00CE1CA7"/>
    <w:rsid w:val="00CE1E0E"/>
    <w:rsid w:val="00CE1F88"/>
    <w:rsid w:val="00CE217C"/>
    <w:rsid w:val="00CE21C1"/>
    <w:rsid w:val="00CE229E"/>
    <w:rsid w:val="00CE22E3"/>
    <w:rsid w:val="00CE241F"/>
    <w:rsid w:val="00CE2530"/>
    <w:rsid w:val="00CE2563"/>
    <w:rsid w:val="00CE2674"/>
    <w:rsid w:val="00CE27EC"/>
    <w:rsid w:val="00CE2830"/>
    <w:rsid w:val="00CE2A63"/>
    <w:rsid w:val="00CE2B20"/>
    <w:rsid w:val="00CE2C87"/>
    <w:rsid w:val="00CE2CB8"/>
    <w:rsid w:val="00CE2F18"/>
    <w:rsid w:val="00CE2F35"/>
    <w:rsid w:val="00CE3370"/>
    <w:rsid w:val="00CE338C"/>
    <w:rsid w:val="00CE36BD"/>
    <w:rsid w:val="00CE3B4E"/>
    <w:rsid w:val="00CE3BC8"/>
    <w:rsid w:val="00CE3EC9"/>
    <w:rsid w:val="00CE404F"/>
    <w:rsid w:val="00CE42C1"/>
    <w:rsid w:val="00CE4469"/>
    <w:rsid w:val="00CE4480"/>
    <w:rsid w:val="00CE44A4"/>
    <w:rsid w:val="00CE44EA"/>
    <w:rsid w:val="00CE44F6"/>
    <w:rsid w:val="00CE465D"/>
    <w:rsid w:val="00CE4724"/>
    <w:rsid w:val="00CE4851"/>
    <w:rsid w:val="00CE4920"/>
    <w:rsid w:val="00CE4AE1"/>
    <w:rsid w:val="00CE504D"/>
    <w:rsid w:val="00CE505B"/>
    <w:rsid w:val="00CE50A8"/>
    <w:rsid w:val="00CE51DD"/>
    <w:rsid w:val="00CE5203"/>
    <w:rsid w:val="00CE528C"/>
    <w:rsid w:val="00CE5319"/>
    <w:rsid w:val="00CE53AF"/>
    <w:rsid w:val="00CE584B"/>
    <w:rsid w:val="00CE5884"/>
    <w:rsid w:val="00CE5953"/>
    <w:rsid w:val="00CE59E0"/>
    <w:rsid w:val="00CE5CC3"/>
    <w:rsid w:val="00CE5D0C"/>
    <w:rsid w:val="00CE5D89"/>
    <w:rsid w:val="00CE6019"/>
    <w:rsid w:val="00CE66AF"/>
    <w:rsid w:val="00CE6812"/>
    <w:rsid w:val="00CE68A4"/>
    <w:rsid w:val="00CE694E"/>
    <w:rsid w:val="00CE6CAF"/>
    <w:rsid w:val="00CE6E67"/>
    <w:rsid w:val="00CE6F05"/>
    <w:rsid w:val="00CE6F4B"/>
    <w:rsid w:val="00CE705D"/>
    <w:rsid w:val="00CE712C"/>
    <w:rsid w:val="00CE7240"/>
    <w:rsid w:val="00CE72AB"/>
    <w:rsid w:val="00CE736F"/>
    <w:rsid w:val="00CE7625"/>
    <w:rsid w:val="00CE76EF"/>
    <w:rsid w:val="00CE782C"/>
    <w:rsid w:val="00CE7B40"/>
    <w:rsid w:val="00CE7B54"/>
    <w:rsid w:val="00CE7C65"/>
    <w:rsid w:val="00CE7D85"/>
    <w:rsid w:val="00CE7DE4"/>
    <w:rsid w:val="00CE7E15"/>
    <w:rsid w:val="00CE7E39"/>
    <w:rsid w:val="00CE7F1A"/>
    <w:rsid w:val="00CE7F35"/>
    <w:rsid w:val="00CF000A"/>
    <w:rsid w:val="00CF040B"/>
    <w:rsid w:val="00CF0456"/>
    <w:rsid w:val="00CF047B"/>
    <w:rsid w:val="00CF0493"/>
    <w:rsid w:val="00CF04B9"/>
    <w:rsid w:val="00CF0529"/>
    <w:rsid w:val="00CF05C2"/>
    <w:rsid w:val="00CF05C7"/>
    <w:rsid w:val="00CF0654"/>
    <w:rsid w:val="00CF0BF8"/>
    <w:rsid w:val="00CF0DAD"/>
    <w:rsid w:val="00CF0E15"/>
    <w:rsid w:val="00CF0E8D"/>
    <w:rsid w:val="00CF1024"/>
    <w:rsid w:val="00CF139C"/>
    <w:rsid w:val="00CF13E0"/>
    <w:rsid w:val="00CF14D1"/>
    <w:rsid w:val="00CF15A2"/>
    <w:rsid w:val="00CF16E5"/>
    <w:rsid w:val="00CF1797"/>
    <w:rsid w:val="00CF1AE5"/>
    <w:rsid w:val="00CF1AEB"/>
    <w:rsid w:val="00CF1C01"/>
    <w:rsid w:val="00CF1D70"/>
    <w:rsid w:val="00CF1DAB"/>
    <w:rsid w:val="00CF1FC0"/>
    <w:rsid w:val="00CF2179"/>
    <w:rsid w:val="00CF21D2"/>
    <w:rsid w:val="00CF2505"/>
    <w:rsid w:val="00CF2636"/>
    <w:rsid w:val="00CF270F"/>
    <w:rsid w:val="00CF28B8"/>
    <w:rsid w:val="00CF295F"/>
    <w:rsid w:val="00CF2A98"/>
    <w:rsid w:val="00CF2B4E"/>
    <w:rsid w:val="00CF2BBD"/>
    <w:rsid w:val="00CF2C22"/>
    <w:rsid w:val="00CF2CA0"/>
    <w:rsid w:val="00CF2CDB"/>
    <w:rsid w:val="00CF2DA2"/>
    <w:rsid w:val="00CF2E8D"/>
    <w:rsid w:val="00CF2FC3"/>
    <w:rsid w:val="00CF3008"/>
    <w:rsid w:val="00CF3074"/>
    <w:rsid w:val="00CF3140"/>
    <w:rsid w:val="00CF33CF"/>
    <w:rsid w:val="00CF33FD"/>
    <w:rsid w:val="00CF343B"/>
    <w:rsid w:val="00CF354D"/>
    <w:rsid w:val="00CF36D7"/>
    <w:rsid w:val="00CF38C8"/>
    <w:rsid w:val="00CF39D8"/>
    <w:rsid w:val="00CF39FA"/>
    <w:rsid w:val="00CF3A6A"/>
    <w:rsid w:val="00CF3BEF"/>
    <w:rsid w:val="00CF3F15"/>
    <w:rsid w:val="00CF3F3D"/>
    <w:rsid w:val="00CF3F90"/>
    <w:rsid w:val="00CF4087"/>
    <w:rsid w:val="00CF4205"/>
    <w:rsid w:val="00CF4239"/>
    <w:rsid w:val="00CF4243"/>
    <w:rsid w:val="00CF42FC"/>
    <w:rsid w:val="00CF43BC"/>
    <w:rsid w:val="00CF4589"/>
    <w:rsid w:val="00CF47DF"/>
    <w:rsid w:val="00CF47E1"/>
    <w:rsid w:val="00CF47FC"/>
    <w:rsid w:val="00CF4D94"/>
    <w:rsid w:val="00CF4E4A"/>
    <w:rsid w:val="00CF4FEB"/>
    <w:rsid w:val="00CF50F2"/>
    <w:rsid w:val="00CF514C"/>
    <w:rsid w:val="00CF51B0"/>
    <w:rsid w:val="00CF5220"/>
    <w:rsid w:val="00CF5307"/>
    <w:rsid w:val="00CF5985"/>
    <w:rsid w:val="00CF5A55"/>
    <w:rsid w:val="00CF5AF1"/>
    <w:rsid w:val="00CF5F74"/>
    <w:rsid w:val="00CF610D"/>
    <w:rsid w:val="00CF6275"/>
    <w:rsid w:val="00CF6330"/>
    <w:rsid w:val="00CF6354"/>
    <w:rsid w:val="00CF64B1"/>
    <w:rsid w:val="00CF67AD"/>
    <w:rsid w:val="00CF6957"/>
    <w:rsid w:val="00CF6994"/>
    <w:rsid w:val="00CF6A76"/>
    <w:rsid w:val="00CF6C09"/>
    <w:rsid w:val="00CF6E0E"/>
    <w:rsid w:val="00CF6E89"/>
    <w:rsid w:val="00CF6EAE"/>
    <w:rsid w:val="00CF702C"/>
    <w:rsid w:val="00CF7291"/>
    <w:rsid w:val="00CF73C1"/>
    <w:rsid w:val="00CF73DB"/>
    <w:rsid w:val="00CF795C"/>
    <w:rsid w:val="00CF7A01"/>
    <w:rsid w:val="00CF7B89"/>
    <w:rsid w:val="00CF7D73"/>
    <w:rsid w:val="00CF7E18"/>
    <w:rsid w:val="00CF7E96"/>
    <w:rsid w:val="00CFFBDF"/>
    <w:rsid w:val="00D00130"/>
    <w:rsid w:val="00D00415"/>
    <w:rsid w:val="00D00579"/>
    <w:rsid w:val="00D005B2"/>
    <w:rsid w:val="00D007F4"/>
    <w:rsid w:val="00D00963"/>
    <w:rsid w:val="00D00E06"/>
    <w:rsid w:val="00D00E64"/>
    <w:rsid w:val="00D0103B"/>
    <w:rsid w:val="00D0109B"/>
    <w:rsid w:val="00D010C6"/>
    <w:rsid w:val="00D01278"/>
    <w:rsid w:val="00D01379"/>
    <w:rsid w:val="00D013F9"/>
    <w:rsid w:val="00D01453"/>
    <w:rsid w:val="00D015C4"/>
    <w:rsid w:val="00D01737"/>
    <w:rsid w:val="00D01854"/>
    <w:rsid w:val="00D018B3"/>
    <w:rsid w:val="00D018D1"/>
    <w:rsid w:val="00D01944"/>
    <w:rsid w:val="00D01AC0"/>
    <w:rsid w:val="00D01D53"/>
    <w:rsid w:val="00D01FFC"/>
    <w:rsid w:val="00D0209A"/>
    <w:rsid w:val="00D0223A"/>
    <w:rsid w:val="00D0238C"/>
    <w:rsid w:val="00D02498"/>
    <w:rsid w:val="00D025F1"/>
    <w:rsid w:val="00D02659"/>
    <w:rsid w:val="00D02789"/>
    <w:rsid w:val="00D027DD"/>
    <w:rsid w:val="00D028A3"/>
    <w:rsid w:val="00D02914"/>
    <w:rsid w:val="00D02989"/>
    <w:rsid w:val="00D029ED"/>
    <w:rsid w:val="00D02ABF"/>
    <w:rsid w:val="00D02BD4"/>
    <w:rsid w:val="00D02C25"/>
    <w:rsid w:val="00D02DAA"/>
    <w:rsid w:val="00D02E8E"/>
    <w:rsid w:val="00D02EAB"/>
    <w:rsid w:val="00D03061"/>
    <w:rsid w:val="00D03090"/>
    <w:rsid w:val="00D030C2"/>
    <w:rsid w:val="00D03292"/>
    <w:rsid w:val="00D03340"/>
    <w:rsid w:val="00D0337D"/>
    <w:rsid w:val="00D03504"/>
    <w:rsid w:val="00D0375E"/>
    <w:rsid w:val="00D038EF"/>
    <w:rsid w:val="00D03BEE"/>
    <w:rsid w:val="00D03C12"/>
    <w:rsid w:val="00D03CEF"/>
    <w:rsid w:val="00D03D2C"/>
    <w:rsid w:val="00D03E80"/>
    <w:rsid w:val="00D03F51"/>
    <w:rsid w:val="00D03F62"/>
    <w:rsid w:val="00D03FF1"/>
    <w:rsid w:val="00D0404C"/>
    <w:rsid w:val="00D04098"/>
    <w:rsid w:val="00D041E7"/>
    <w:rsid w:val="00D042DC"/>
    <w:rsid w:val="00D0441F"/>
    <w:rsid w:val="00D04607"/>
    <w:rsid w:val="00D04771"/>
    <w:rsid w:val="00D04890"/>
    <w:rsid w:val="00D04C3E"/>
    <w:rsid w:val="00D04CB0"/>
    <w:rsid w:val="00D04CBC"/>
    <w:rsid w:val="00D04CF7"/>
    <w:rsid w:val="00D04E02"/>
    <w:rsid w:val="00D05461"/>
    <w:rsid w:val="00D054B1"/>
    <w:rsid w:val="00D0552C"/>
    <w:rsid w:val="00D055E6"/>
    <w:rsid w:val="00D056BD"/>
    <w:rsid w:val="00D05747"/>
    <w:rsid w:val="00D05982"/>
    <w:rsid w:val="00D059C6"/>
    <w:rsid w:val="00D05AEE"/>
    <w:rsid w:val="00D05BB6"/>
    <w:rsid w:val="00D05CF0"/>
    <w:rsid w:val="00D05D89"/>
    <w:rsid w:val="00D05D9E"/>
    <w:rsid w:val="00D05FFC"/>
    <w:rsid w:val="00D06215"/>
    <w:rsid w:val="00D06231"/>
    <w:rsid w:val="00D06303"/>
    <w:rsid w:val="00D063A5"/>
    <w:rsid w:val="00D063DE"/>
    <w:rsid w:val="00D0667D"/>
    <w:rsid w:val="00D0669B"/>
    <w:rsid w:val="00D066D9"/>
    <w:rsid w:val="00D066F2"/>
    <w:rsid w:val="00D06862"/>
    <w:rsid w:val="00D068CF"/>
    <w:rsid w:val="00D0695B"/>
    <w:rsid w:val="00D06C56"/>
    <w:rsid w:val="00D06CF1"/>
    <w:rsid w:val="00D06D8F"/>
    <w:rsid w:val="00D06E63"/>
    <w:rsid w:val="00D06E7F"/>
    <w:rsid w:val="00D06EAB"/>
    <w:rsid w:val="00D0704F"/>
    <w:rsid w:val="00D07136"/>
    <w:rsid w:val="00D07251"/>
    <w:rsid w:val="00D072F6"/>
    <w:rsid w:val="00D07485"/>
    <w:rsid w:val="00D0758B"/>
    <w:rsid w:val="00D075CC"/>
    <w:rsid w:val="00D075EB"/>
    <w:rsid w:val="00D0760B"/>
    <w:rsid w:val="00D07645"/>
    <w:rsid w:val="00D07697"/>
    <w:rsid w:val="00D076BA"/>
    <w:rsid w:val="00D076DC"/>
    <w:rsid w:val="00D077F1"/>
    <w:rsid w:val="00D078F8"/>
    <w:rsid w:val="00D07B8E"/>
    <w:rsid w:val="00D07C47"/>
    <w:rsid w:val="00D07F6D"/>
    <w:rsid w:val="00D100C3"/>
    <w:rsid w:val="00D100DE"/>
    <w:rsid w:val="00D10216"/>
    <w:rsid w:val="00D103F8"/>
    <w:rsid w:val="00D107C4"/>
    <w:rsid w:val="00D107F3"/>
    <w:rsid w:val="00D10957"/>
    <w:rsid w:val="00D10D42"/>
    <w:rsid w:val="00D10E5C"/>
    <w:rsid w:val="00D10EA4"/>
    <w:rsid w:val="00D10ED4"/>
    <w:rsid w:val="00D10F24"/>
    <w:rsid w:val="00D10F30"/>
    <w:rsid w:val="00D10F71"/>
    <w:rsid w:val="00D10FB0"/>
    <w:rsid w:val="00D10FEA"/>
    <w:rsid w:val="00D11025"/>
    <w:rsid w:val="00D112E9"/>
    <w:rsid w:val="00D11419"/>
    <w:rsid w:val="00D11472"/>
    <w:rsid w:val="00D11891"/>
    <w:rsid w:val="00D11C2A"/>
    <w:rsid w:val="00D11C86"/>
    <w:rsid w:val="00D11C97"/>
    <w:rsid w:val="00D11F2B"/>
    <w:rsid w:val="00D11FBC"/>
    <w:rsid w:val="00D12093"/>
    <w:rsid w:val="00D120D7"/>
    <w:rsid w:val="00D12117"/>
    <w:rsid w:val="00D1211F"/>
    <w:rsid w:val="00D121CA"/>
    <w:rsid w:val="00D122E8"/>
    <w:rsid w:val="00D1233D"/>
    <w:rsid w:val="00D12650"/>
    <w:rsid w:val="00D126D9"/>
    <w:rsid w:val="00D127D9"/>
    <w:rsid w:val="00D128CE"/>
    <w:rsid w:val="00D128F3"/>
    <w:rsid w:val="00D12949"/>
    <w:rsid w:val="00D129AB"/>
    <w:rsid w:val="00D12B66"/>
    <w:rsid w:val="00D12B7C"/>
    <w:rsid w:val="00D12CCD"/>
    <w:rsid w:val="00D12D45"/>
    <w:rsid w:val="00D12FE8"/>
    <w:rsid w:val="00D1301C"/>
    <w:rsid w:val="00D1302B"/>
    <w:rsid w:val="00D1304D"/>
    <w:rsid w:val="00D130E6"/>
    <w:rsid w:val="00D136D2"/>
    <w:rsid w:val="00D1385B"/>
    <w:rsid w:val="00D13866"/>
    <w:rsid w:val="00D13885"/>
    <w:rsid w:val="00D138A3"/>
    <w:rsid w:val="00D13919"/>
    <w:rsid w:val="00D1399F"/>
    <w:rsid w:val="00D139DF"/>
    <w:rsid w:val="00D139EB"/>
    <w:rsid w:val="00D13A1F"/>
    <w:rsid w:val="00D13B04"/>
    <w:rsid w:val="00D13BB6"/>
    <w:rsid w:val="00D14273"/>
    <w:rsid w:val="00D143AD"/>
    <w:rsid w:val="00D14408"/>
    <w:rsid w:val="00D14409"/>
    <w:rsid w:val="00D14529"/>
    <w:rsid w:val="00D14648"/>
    <w:rsid w:val="00D1472E"/>
    <w:rsid w:val="00D14806"/>
    <w:rsid w:val="00D14826"/>
    <w:rsid w:val="00D1496A"/>
    <w:rsid w:val="00D14A49"/>
    <w:rsid w:val="00D14B4D"/>
    <w:rsid w:val="00D14BF3"/>
    <w:rsid w:val="00D14BF8"/>
    <w:rsid w:val="00D14D9B"/>
    <w:rsid w:val="00D14E0B"/>
    <w:rsid w:val="00D14E39"/>
    <w:rsid w:val="00D14EDC"/>
    <w:rsid w:val="00D1513F"/>
    <w:rsid w:val="00D15165"/>
    <w:rsid w:val="00D15169"/>
    <w:rsid w:val="00D1521E"/>
    <w:rsid w:val="00D1547B"/>
    <w:rsid w:val="00D15685"/>
    <w:rsid w:val="00D1590C"/>
    <w:rsid w:val="00D15927"/>
    <w:rsid w:val="00D15AE8"/>
    <w:rsid w:val="00D15AF4"/>
    <w:rsid w:val="00D15B10"/>
    <w:rsid w:val="00D15BA3"/>
    <w:rsid w:val="00D15BD8"/>
    <w:rsid w:val="00D15DFB"/>
    <w:rsid w:val="00D15FCF"/>
    <w:rsid w:val="00D161CF"/>
    <w:rsid w:val="00D163E0"/>
    <w:rsid w:val="00D16408"/>
    <w:rsid w:val="00D1666D"/>
    <w:rsid w:val="00D167D8"/>
    <w:rsid w:val="00D16840"/>
    <w:rsid w:val="00D16851"/>
    <w:rsid w:val="00D1691F"/>
    <w:rsid w:val="00D16B98"/>
    <w:rsid w:val="00D16C59"/>
    <w:rsid w:val="00D16DD0"/>
    <w:rsid w:val="00D16E70"/>
    <w:rsid w:val="00D17053"/>
    <w:rsid w:val="00D171EC"/>
    <w:rsid w:val="00D171F4"/>
    <w:rsid w:val="00D1732C"/>
    <w:rsid w:val="00D175BD"/>
    <w:rsid w:val="00D1765A"/>
    <w:rsid w:val="00D1774B"/>
    <w:rsid w:val="00D17A86"/>
    <w:rsid w:val="00D17B99"/>
    <w:rsid w:val="00D20037"/>
    <w:rsid w:val="00D2009B"/>
    <w:rsid w:val="00D2010B"/>
    <w:rsid w:val="00D20177"/>
    <w:rsid w:val="00D201A7"/>
    <w:rsid w:val="00D201B0"/>
    <w:rsid w:val="00D2022D"/>
    <w:rsid w:val="00D202D0"/>
    <w:rsid w:val="00D2046F"/>
    <w:rsid w:val="00D2049A"/>
    <w:rsid w:val="00D20742"/>
    <w:rsid w:val="00D207A1"/>
    <w:rsid w:val="00D208ED"/>
    <w:rsid w:val="00D209F2"/>
    <w:rsid w:val="00D20AB0"/>
    <w:rsid w:val="00D20E07"/>
    <w:rsid w:val="00D20E20"/>
    <w:rsid w:val="00D20F10"/>
    <w:rsid w:val="00D20F53"/>
    <w:rsid w:val="00D2101D"/>
    <w:rsid w:val="00D2105B"/>
    <w:rsid w:val="00D21173"/>
    <w:rsid w:val="00D211D1"/>
    <w:rsid w:val="00D21214"/>
    <w:rsid w:val="00D21235"/>
    <w:rsid w:val="00D2123F"/>
    <w:rsid w:val="00D213E7"/>
    <w:rsid w:val="00D214F6"/>
    <w:rsid w:val="00D2158F"/>
    <w:rsid w:val="00D21788"/>
    <w:rsid w:val="00D218A2"/>
    <w:rsid w:val="00D219C5"/>
    <w:rsid w:val="00D21B29"/>
    <w:rsid w:val="00D21B5D"/>
    <w:rsid w:val="00D21BFC"/>
    <w:rsid w:val="00D21CA2"/>
    <w:rsid w:val="00D21CF8"/>
    <w:rsid w:val="00D21DD3"/>
    <w:rsid w:val="00D21DF3"/>
    <w:rsid w:val="00D21E5C"/>
    <w:rsid w:val="00D220C5"/>
    <w:rsid w:val="00D22263"/>
    <w:rsid w:val="00D22364"/>
    <w:rsid w:val="00D223A2"/>
    <w:rsid w:val="00D22467"/>
    <w:rsid w:val="00D22951"/>
    <w:rsid w:val="00D22963"/>
    <w:rsid w:val="00D229DB"/>
    <w:rsid w:val="00D22A17"/>
    <w:rsid w:val="00D22D61"/>
    <w:rsid w:val="00D22DA7"/>
    <w:rsid w:val="00D22E4E"/>
    <w:rsid w:val="00D22FAA"/>
    <w:rsid w:val="00D22FF3"/>
    <w:rsid w:val="00D230A5"/>
    <w:rsid w:val="00D23189"/>
    <w:rsid w:val="00D232CE"/>
    <w:rsid w:val="00D2345E"/>
    <w:rsid w:val="00D235A4"/>
    <w:rsid w:val="00D23723"/>
    <w:rsid w:val="00D238A9"/>
    <w:rsid w:val="00D2393B"/>
    <w:rsid w:val="00D23E01"/>
    <w:rsid w:val="00D23E51"/>
    <w:rsid w:val="00D23E8D"/>
    <w:rsid w:val="00D23EF7"/>
    <w:rsid w:val="00D23F4B"/>
    <w:rsid w:val="00D241AF"/>
    <w:rsid w:val="00D2433F"/>
    <w:rsid w:val="00D243B1"/>
    <w:rsid w:val="00D243E4"/>
    <w:rsid w:val="00D2440C"/>
    <w:rsid w:val="00D245EE"/>
    <w:rsid w:val="00D24759"/>
    <w:rsid w:val="00D2481F"/>
    <w:rsid w:val="00D24844"/>
    <w:rsid w:val="00D2486B"/>
    <w:rsid w:val="00D24BC9"/>
    <w:rsid w:val="00D24C64"/>
    <w:rsid w:val="00D24C81"/>
    <w:rsid w:val="00D24CDC"/>
    <w:rsid w:val="00D24EDD"/>
    <w:rsid w:val="00D24EDE"/>
    <w:rsid w:val="00D2504F"/>
    <w:rsid w:val="00D25111"/>
    <w:rsid w:val="00D2522E"/>
    <w:rsid w:val="00D2539A"/>
    <w:rsid w:val="00D25665"/>
    <w:rsid w:val="00D25679"/>
    <w:rsid w:val="00D257F1"/>
    <w:rsid w:val="00D258BB"/>
    <w:rsid w:val="00D2593E"/>
    <w:rsid w:val="00D25E2C"/>
    <w:rsid w:val="00D25ECA"/>
    <w:rsid w:val="00D25F96"/>
    <w:rsid w:val="00D260CF"/>
    <w:rsid w:val="00D260D9"/>
    <w:rsid w:val="00D26371"/>
    <w:rsid w:val="00D2647D"/>
    <w:rsid w:val="00D264ED"/>
    <w:rsid w:val="00D265A4"/>
    <w:rsid w:val="00D265F2"/>
    <w:rsid w:val="00D26704"/>
    <w:rsid w:val="00D26756"/>
    <w:rsid w:val="00D2680B"/>
    <w:rsid w:val="00D268D3"/>
    <w:rsid w:val="00D268DB"/>
    <w:rsid w:val="00D268FC"/>
    <w:rsid w:val="00D2693C"/>
    <w:rsid w:val="00D26AD3"/>
    <w:rsid w:val="00D26E09"/>
    <w:rsid w:val="00D26E3D"/>
    <w:rsid w:val="00D271FE"/>
    <w:rsid w:val="00D2730C"/>
    <w:rsid w:val="00D27342"/>
    <w:rsid w:val="00D276D5"/>
    <w:rsid w:val="00D2775F"/>
    <w:rsid w:val="00D27817"/>
    <w:rsid w:val="00D27A41"/>
    <w:rsid w:val="00D27F41"/>
    <w:rsid w:val="00D27F47"/>
    <w:rsid w:val="00D30025"/>
    <w:rsid w:val="00D30126"/>
    <w:rsid w:val="00D301A8"/>
    <w:rsid w:val="00D301DD"/>
    <w:rsid w:val="00D3022E"/>
    <w:rsid w:val="00D303D6"/>
    <w:rsid w:val="00D3056B"/>
    <w:rsid w:val="00D3057A"/>
    <w:rsid w:val="00D30581"/>
    <w:rsid w:val="00D307B2"/>
    <w:rsid w:val="00D30974"/>
    <w:rsid w:val="00D309BC"/>
    <w:rsid w:val="00D30B6C"/>
    <w:rsid w:val="00D30E4B"/>
    <w:rsid w:val="00D3108D"/>
    <w:rsid w:val="00D3144B"/>
    <w:rsid w:val="00D3154D"/>
    <w:rsid w:val="00D315E8"/>
    <w:rsid w:val="00D31649"/>
    <w:rsid w:val="00D31658"/>
    <w:rsid w:val="00D31671"/>
    <w:rsid w:val="00D3169E"/>
    <w:rsid w:val="00D316F6"/>
    <w:rsid w:val="00D31772"/>
    <w:rsid w:val="00D318EB"/>
    <w:rsid w:val="00D3195D"/>
    <w:rsid w:val="00D31A48"/>
    <w:rsid w:val="00D31B22"/>
    <w:rsid w:val="00D31C3C"/>
    <w:rsid w:val="00D31D08"/>
    <w:rsid w:val="00D31F6D"/>
    <w:rsid w:val="00D31F9C"/>
    <w:rsid w:val="00D321C1"/>
    <w:rsid w:val="00D3233E"/>
    <w:rsid w:val="00D3247C"/>
    <w:rsid w:val="00D3263A"/>
    <w:rsid w:val="00D3267C"/>
    <w:rsid w:val="00D3287B"/>
    <w:rsid w:val="00D328F8"/>
    <w:rsid w:val="00D32B2A"/>
    <w:rsid w:val="00D32B5B"/>
    <w:rsid w:val="00D32C75"/>
    <w:rsid w:val="00D32C8E"/>
    <w:rsid w:val="00D32D94"/>
    <w:rsid w:val="00D32EC8"/>
    <w:rsid w:val="00D33003"/>
    <w:rsid w:val="00D330DE"/>
    <w:rsid w:val="00D33144"/>
    <w:rsid w:val="00D33259"/>
    <w:rsid w:val="00D33272"/>
    <w:rsid w:val="00D3329B"/>
    <w:rsid w:val="00D3340D"/>
    <w:rsid w:val="00D3341B"/>
    <w:rsid w:val="00D334C6"/>
    <w:rsid w:val="00D33581"/>
    <w:rsid w:val="00D335A4"/>
    <w:rsid w:val="00D33619"/>
    <w:rsid w:val="00D33636"/>
    <w:rsid w:val="00D33683"/>
    <w:rsid w:val="00D33766"/>
    <w:rsid w:val="00D33772"/>
    <w:rsid w:val="00D3378F"/>
    <w:rsid w:val="00D337CE"/>
    <w:rsid w:val="00D33D96"/>
    <w:rsid w:val="00D33DE7"/>
    <w:rsid w:val="00D33DEE"/>
    <w:rsid w:val="00D33E0F"/>
    <w:rsid w:val="00D33E93"/>
    <w:rsid w:val="00D34028"/>
    <w:rsid w:val="00D340D7"/>
    <w:rsid w:val="00D3413A"/>
    <w:rsid w:val="00D341C9"/>
    <w:rsid w:val="00D34528"/>
    <w:rsid w:val="00D345CB"/>
    <w:rsid w:val="00D3463C"/>
    <w:rsid w:val="00D34699"/>
    <w:rsid w:val="00D34703"/>
    <w:rsid w:val="00D3473B"/>
    <w:rsid w:val="00D34864"/>
    <w:rsid w:val="00D34883"/>
    <w:rsid w:val="00D34A0E"/>
    <w:rsid w:val="00D34A76"/>
    <w:rsid w:val="00D34C24"/>
    <w:rsid w:val="00D34CA3"/>
    <w:rsid w:val="00D34DCC"/>
    <w:rsid w:val="00D34F27"/>
    <w:rsid w:val="00D351CE"/>
    <w:rsid w:val="00D353BC"/>
    <w:rsid w:val="00D35440"/>
    <w:rsid w:val="00D35459"/>
    <w:rsid w:val="00D35473"/>
    <w:rsid w:val="00D354F6"/>
    <w:rsid w:val="00D35614"/>
    <w:rsid w:val="00D3580B"/>
    <w:rsid w:val="00D3582D"/>
    <w:rsid w:val="00D35837"/>
    <w:rsid w:val="00D358D9"/>
    <w:rsid w:val="00D3591E"/>
    <w:rsid w:val="00D3599C"/>
    <w:rsid w:val="00D35A02"/>
    <w:rsid w:val="00D35BA4"/>
    <w:rsid w:val="00D35C8D"/>
    <w:rsid w:val="00D35D09"/>
    <w:rsid w:val="00D35D56"/>
    <w:rsid w:val="00D35E68"/>
    <w:rsid w:val="00D36074"/>
    <w:rsid w:val="00D36102"/>
    <w:rsid w:val="00D36140"/>
    <w:rsid w:val="00D36278"/>
    <w:rsid w:val="00D36461"/>
    <w:rsid w:val="00D364A6"/>
    <w:rsid w:val="00D364B6"/>
    <w:rsid w:val="00D3651B"/>
    <w:rsid w:val="00D36594"/>
    <w:rsid w:val="00D365F0"/>
    <w:rsid w:val="00D36B36"/>
    <w:rsid w:val="00D36C02"/>
    <w:rsid w:val="00D36D77"/>
    <w:rsid w:val="00D36E0E"/>
    <w:rsid w:val="00D36FDF"/>
    <w:rsid w:val="00D3710D"/>
    <w:rsid w:val="00D3720C"/>
    <w:rsid w:val="00D3743A"/>
    <w:rsid w:val="00D3743D"/>
    <w:rsid w:val="00D3748C"/>
    <w:rsid w:val="00D37578"/>
    <w:rsid w:val="00D378A0"/>
    <w:rsid w:val="00D378BA"/>
    <w:rsid w:val="00D379D9"/>
    <w:rsid w:val="00D37A8B"/>
    <w:rsid w:val="00D37B7F"/>
    <w:rsid w:val="00D37BFF"/>
    <w:rsid w:val="00D37C90"/>
    <w:rsid w:val="00D37CD2"/>
    <w:rsid w:val="00D37D32"/>
    <w:rsid w:val="00D37D4D"/>
    <w:rsid w:val="00D37D84"/>
    <w:rsid w:val="00D37DAA"/>
    <w:rsid w:val="00D37EFE"/>
    <w:rsid w:val="00D37FC4"/>
    <w:rsid w:val="00D37FCC"/>
    <w:rsid w:val="00D40025"/>
    <w:rsid w:val="00D40028"/>
    <w:rsid w:val="00D400A3"/>
    <w:rsid w:val="00D40136"/>
    <w:rsid w:val="00D40329"/>
    <w:rsid w:val="00D40514"/>
    <w:rsid w:val="00D40576"/>
    <w:rsid w:val="00D40678"/>
    <w:rsid w:val="00D408E7"/>
    <w:rsid w:val="00D40AE7"/>
    <w:rsid w:val="00D40B19"/>
    <w:rsid w:val="00D40B2E"/>
    <w:rsid w:val="00D40BDC"/>
    <w:rsid w:val="00D40F8F"/>
    <w:rsid w:val="00D41355"/>
    <w:rsid w:val="00D41431"/>
    <w:rsid w:val="00D4160D"/>
    <w:rsid w:val="00D41C0A"/>
    <w:rsid w:val="00D41D86"/>
    <w:rsid w:val="00D41E89"/>
    <w:rsid w:val="00D41EAD"/>
    <w:rsid w:val="00D42143"/>
    <w:rsid w:val="00D425D6"/>
    <w:rsid w:val="00D4263C"/>
    <w:rsid w:val="00D4264E"/>
    <w:rsid w:val="00D426EF"/>
    <w:rsid w:val="00D427CE"/>
    <w:rsid w:val="00D429FB"/>
    <w:rsid w:val="00D42A4C"/>
    <w:rsid w:val="00D42C8C"/>
    <w:rsid w:val="00D42D49"/>
    <w:rsid w:val="00D42DF8"/>
    <w:rsid w:val="00D42ED5"/>
    <w:rsid w:val="00D42FBD"/>
    <w:rsid w:val="00D42FCD"/>
    <w:rsid w:val="00D43080"/>
    <w:rsid w:val="00D43094"/>
    <w:rsid w:val="00D43122"/>
    <w:rsid w:val="00D43281"/>
    <w:rsid w:val="00D43344"/>
    <w:rsid w:val="00D433A0"/>
    <w:rsid w:val="00D4340E"/>
    <w:rsid w:val="00D4349F"/>
    <w:rsid w:val="00D43568"/>
    <w:rsid w:val="00D435E8"/>
    <w:rsid w:val="00D4381D"/>
    <w:rsid w:val="00D43998"/>
    <w:rsid w:val="00D43A26"/>
    <w:rsid w:val="00D43B30"/>
    <w:rsid w:val="00D43B5B"/>
    <w:rsid w:val="00D43BBE"/>
    <w:rsid w:val="00D43C15"/>
    <w:rsid w:val="00D43C30"/>
    <w:rsid w:val="00D43DAB"/>
    <w:rsid w:val="00D43F2C"/>
    <w:rsid w:val="00D43FBE"/>
    <w:rsid w:val="00D440E4"/>
    <w:rsid w:val="00D445D0"/>
    <w:rsid w:val="00D44753"/>
    <w:rsid w:val="00D4487B"/>
    <w:rsid w:val="00D44BB1"/>
    <w:rsid w:val="00D44BCE"/>
    <w:rsid w:val="00D44C12"/>
    <w:rsid w:val="00D44E8D"/>
    <w:rsid w:val="00D44F7A"/>
    <w:rsid w:val="00D4508E"/>
    <w:rsid w:val="00D453AA"/>
    <w:rsid w:val="00D453E8"/>
    <w:rsid w:val="00D453EA"/>
    <w:rsid w:val="00D454D0"/>
    <w:rsid w:val="00D4550B"/>
    <w:rsid w:val="00D455E5"/>
    <w:rsid w:val="00D455F6"/>
    <w:rsid w:val="00D45685"/>
    <w:rsid w:val="00D456B8"/>
    <w:rsid w:val="00D4596F"/>
    <w:rsid w:val="00D45A86"/>
    <w:rsid w:val="00D45BEE"/>
    <w:rsid w:val="00D45D14"/>
    <w:rsid w:val="00D45D21"/>
    <w:rsid w:val="00D45E19"/>
    <w:rsid w:val="00D46056"/>
    <w:rsid w:val="00D4631D"/>
    <w:rsid w:val="00D463FB"/>
    <w:rsid w:val="00D46547"/>
    <w:rsid w:val="00D465FD"/>
    <w:rsid w:val="00D4665F"/>
    <w:rsid w:val="00D46663"/>
    <w:rsid w:val="00D46724"/>
    <w:rsid w:val="00D46729"/>
    <w:rsid w:val="00D4684A"/>
    <w:rsid w:val="00D4692F"/>
    <w:rsid w:val="00D469E1"/>
    <w:rsid w:val="00D46A32"/>
    <w:rsid w:val="00D46C2E"/>
    <w:rsid w:val="00D46DDC"/>
    <w:rsid w:val="00D46EFF"/>
    <w:rsid w:val="00D46FAB"/>
    <w:rsid w:val="00D47003"/>
    <w:rsid w:val="00D47144"/>
    <w:rsid w:val="00D4724B"/>
    <w:rsid w:val="00D47421"/>
    <w:rsid w:val="00D474E9"/>
    <w:rsid w:val="00D4753D"/>
    <w:rsid w:val="00D47593"/>
    <w:rsid w:val="00D475C7"/>
    <w:rsid w:val="00D477CE"/>
    <w:rsid w:val="00D47832"/>
    <w:rsid w:val="00D47915"/>
    <w:rsid w:val="00D47A70"/>
    <w:rsid w:val="00D47AA8"/>
    <w:rsid w:val="00D47B63"/>
    <w:rsid w:val="00D47C9F"/>
    <w:rsid w:val="00D47CF7"/>
    <w:rsid w:val="00D47DD7"/>
    <w:rsid w:val="00D47E39"/>
    <w:rsid w:val="00D47F22"/>
    <w:rsid w:val="00D50016"/>
    <w:rsid w:val="00D5004C"/>
    <w:rsid w:val="00D501D9"/>
    <w:rsid w:val="00D5022D"/>
    <w:rsid w:val="00D5066C"/>
    <w:rsid w:val="00D506BB"/>
    <w:rsid w:val="00D506DF"/>
    <w:rsid w:val="00D50994"/>
    <w:rsid w:val="00D50A90"/>
    <w:rsid w:val="00D50DAD"/>
    <w:rsid w:val="00D51012"/>
    <w:rsid w:val="00D510A3"/>
    <w:rsid w:val="00D510A7"/>
    <w:rsid w:val="00D51153"/>
    <w:rsid w:val="00D51181"/>
    <w:rsid w:val="00D51197"/>
    <w:rsid w:val="00D512E2"/>
    <w:rsid w:val="00D51453"/>
    <w:rsid w:val="00D514F8"/>
    <w:rsid w:val="00D515A2"/>
    <w:rsid w:val="00D515FD"/>
    <w:rsid w:val="00D5177D"/>
    <w:rsid w:val="00D51819"/>
    <w:rsid w:val="00D51888"/>
    <w:rsid w:val="00D51A37"/>
    <w:rsid w:val="00D51A3F"/>
    <w:rsid w:val="00D51A98"/>
    <w:rsid w:val="00D51AEE"/>
    <w:rsid w:val="00D51D1B"/>
    <w:rsid w:val="00D51DD8"/>
    <w:rsid w:val="00D51F04"/>
    <w:rsid w:val="00D520DB"/>
    <w:rsid w:val="00D521F0"/>
    <w:rsid w:val="00D52270"/>
    <w:rsid w:val="00D52309"/>
    <w:rsid w:val="00D52533"/>
    <w:rsid w:val="00D525C6"/>
    <w:rsid w:val="00D526AB"/>
    <w:rsid w:val="00D526BA"/>
    <w:rsid w:val="00D5278B"/>
    <w:rsid w:val="00D52B53"/>
    <w:rsid w:val="00D52BD3"/>
    <w:rsid w:val="00D52D61"/>
    <w:rsid w:val="00D530ED"/>
    <w:rsid w:val="00D532AC"/>
    <w:rsid w:val="00D533E6"/>
    <w:rsid w:val="00D53699"/>
    <w:rsid w:val="00D536AE"/>
    <w:rsid w:val="00D53731"/>
    <w:rsid w:val="00D5373C"/>
    <w:rsid w:val="00D53807"/>
    <w:rsid w:val="00D538CA"/>
    <w:rsid w:val="00D53A0C"/>
    <w:rsid w:val="00D53A63"/>
    <w:rsid w:val="00D53C66"/>
    <w:rsid w:val="00D53DF9"/>
    <w:rsid w:val="00D53E3D"/>
    <w:rsid w:val="00D54031"/>
    <w:rsid w:val="00D54048"/>
    <w:rsid w:val="00D540AE"/>
    <w:rsid w:val="00D540CE"/>
    <w:rsid w:val="00D5419C"/>
    <w:rsid w:val="00D543A8"/>
    <w:rsid w:val="00D54430"/>
    <w:rsid w:val="00D5481C"/>
    <w:rsid w:val="00D548BF"/>
    <w:rsid w:val="00D54A2E"/>
    <w:rsid w:val="00D54C37"/>
    <w:rsid w:val="00D54D0B"/>
    <w:rsid w:val="00D54D82"/>
    <w:rsid w:val="00D54E43"/>
    <w:rsid w:val="00D550A8"/>
    <w:rsid w:val="00D55194"/>
    <w:rsid w:val="00D5528C"/>
    <w:rsid w:val="00D55320"/>
    <w:rsid w:val="00D55377"/>
    <w:rsid w:val="00D5540D"/>
    <w:rsid w:val="00D557BC"/>
    <w:rsid w:val="00D557CA"/>
    <w:rsid w:val="00D5586B"/>
    <w:rsid w:val="00D558D8"/>
    <w:rsid w:val="00D558FC"/>
    <w:rsid w:val="00D55910"/>
    <w:rsid w:val="00D55DAB"/>
    <w:rsid w:val="00D55EAE"/>
    <w:rsid w:val="00D55F39"/>
    <w:rsid w:val="00D55FB5"/>
    <w:rsid w:val="00D56130"/>
    <w:rsid w:val="00D562F9"/>
    <w:rsid w:val="00D56367"/>
    <w:rsid w:val="00D56375"/>
    <w:rsid w:val="00D5644E"/>
    <w:rsid w:val="00D564EC"/>
    <w:rsid w:val="00D56563"/>
    <w:rsid w:val="00D5664F"/>
    <w:rsid w:val="00D5685D"/>
    <w:rsid w:val="00D56BB0"/>
    <w:rsid w:val="00D56BED"/>
    <w:rsid w:val="00D56C29"/>
    <w:rsid w:val="00D56CA0"/>
    <w:rsid w:val="00D56D2B"/>
    <w:rsid w:val="00D56D56"/>
    <w:rsid w:val="00D56DDE"/>
    <w:rsid w:val="00D56DFE"/>
    <w:rsid w:val="00D56E43"/>
    <w:rsid w:val="00D56FAE"/>
    <w:rsid w:val="00D57034"/>
    <w:rsid w:val="00D570E0"/>
    <w:rsid w:val="00D57126"/>
    <w:rsid w:val="00D571B5"/>
    <w:rsid w:val="00D57245"/>
    <w:rsid w:val="00D5732E"/>
    <w:rsid w:val="00D57334"/>
    <w:rsid w:val="00D57412"/>
    <w:rsid w:val="00D57585"/>
    <w:rsid w:val="00D575F6"/>
    <w:rsid w:val="00D5783F"/>
    <w:rsid w:val="00D578A7"/>
    <w:rsid w:val="00D5792E"/>
    <w:rsid w:val="00D57950"/>
    <w:rsid w:val="00D57ABF"/>
    <w:rsid w:val="00D57B2E"/>
    <w:rsid w:val="00D57DF5"/>
    <w:rsid w:val="00D57E40"/>
    <w:rsid w:val="00D57F06"/>
    <w:rsid w:val="00D60063"/>
    <w:rsid w:val="00D6007C"/>
    <w:rsid w:val="00D60086"/>
    <w:rsid w:val="00D60308"/>
    <w:rsid w:val="00D60462"/>
    <w:rsid w:val="00D60580"/>
    <w:rsid w:val="00D6062A"/>
    <w:rsid w:val="00D606EE"/>
    <w:rsid w:val="00D6072E"/>
    <w:rsid w:val="00D60AC1"/>
    <w:rsid w:val="00D60D0C"/>
    <w:rsid w:val="00D61077"/>
    <w:rsid w:val="00D611BA"/>
    <w:rsid w:val="00D61299"/>
    <w:rsid w:val="00D61344"/>
    <w:rsid w:val="00D61378"/>
    <w:rsid w:val="00D614D9"/>
    <w:rsid w:val="00D61720"/>
    <w:rsid w:val="00D61776"/>
    <w:rsid w:val="00D61B81"/>
    <w:rsid w:val="00D61C78"/>
    <w:rsid w:val="00D61C80"/>
    <w:rsid w:val="00D61C83"/>
    <w:rsid w:val="00D61EDA"/>
    <w:rsid w:val="00D61EDF"/>
    <w:rsid w:val="00D61F82"/>
    <w:rsid w:val="00D61FE1"/>
    <w:rsid w:val="00D620CD"/>
    <w:rsid w:val="00D62127"/>
    <w:rsid w:val="00D621E0"/>
    <w:rsid w:val="00D62247"/>
    <w:rsid w:val="00D62330"/>
    <w:rsid w:val="00D6237B"/>
    <w:rsid w:val="00D62536"/>
    <w:rsid w:val="00D62BF1"/>
    <w:rsid w:val="00D62CB9"/>
    <w:rsid w:val="00D62D84"/>
    <w:rsid w:val="00D62D8D"/>
    <w:rsid w:val="00D62DA2"/>
    <w:rsid w:val="00D62DEA"/>
    <w:rsid w:val="00D62E19"/>
    <w:rsid w:val="00D62E40"/>
    <w:rsid w:val="00D63213"/>
    <w:rsid w:val="00D635BF"/>
    <w:rsid w:val="00D63A62"/>
    <w:rsid w:val="00D63BF7"/>
    <w:rsid w:val="00D63C9F"/>
    <w:rsid w:val="00D63EDE"/>
    <w:rsid w:val="00D640D6"/>
    <w:rsid w:val="00D64284"/>
    <w:rsid w:val="00D643DF"/>
    <w:rsid w:val="00D644A3"/>
    <w:rsid w:val="00D645A7"/>
    <w:rsid w:val="00D64630"/>
    <w:rsid w:val="00D647B8"/>
    <w:rsid w:val="00D64855"/>
    <w:rsid w:val="00D648CB"/>
    <w:rsid w:val="00D64933"/>
    <w:rsid w:val="00D64B0D"/>
    <w:rsid w:val="00D64B8E"/>
    <w:rsid w:val="00D64CC3"/>
    <w:rsid w:val="00D64D97"/>
    <w:rsid w:val="00D64EFB"/>
    <w:rsid w:val="00D64FEC"/>
    <w:rsid w:val="00D653B6"/>
    <w:rsid w:val="00D6540B"/>
    <w:rsid w:val="00D65451"/>
    <w:rsid w:val="00D6547A"/>
    <w:rsid w:val="00D65624"/>
    <w:rsid w:val="00D65651"/>
    <w:rsid w:val="00D65654"/>
    <w:rsid w:val="00D65723"/>
    <w:rsid w:val="00D65744"/>
    <w:rsid w:val="00D65758"/>
    <w:rsid w:val="00D65984"/>
    <w:rsid w:val="00D65A10"/>
    <w:rsid w:val="00D65AB2"/>
    <w:rsid w:val="00D65D8D"/>
    <w:rsid w:val="00D66010"/>
    <w:rsid w:val="00D66120"/>
    <w:rsid w:val="00D6618E"/>
    <w:rsid w:val="00D662AA"/>
    <w:rsid w:val="00D66332"/>
    <w:rsid w:val="00D66336"/>
    <w:rsid w:val="00D6636F"/>
    <w:rsid w:val="00D663EF"/>
    <w:rsid w:val="00D66546"/>
    <w:rsid w:val="00D666B8"/>
    <w:rsid w:val="00D66809"/>
    <w:rsid w:val="00D6686C"/>
    <w:rsid w:val="00D668AA"/>
    <w:rsid w:val="00D668D4"/>
    <w:rsid w:val="00D66993"/>
    <w:rsid w:val="00D66A52"/>
    <w:rsid w:val="00D66BC8"/>
    <w:rsid w:val="00D66C5C"/>
    <w:rsid w:val="00D66C79"/>
    <w:rsid w:val="00D66D6A"/>
    <w:rsid w:val="00D66EC2"/>
    <w:rsid w:val="00D66EE8"/>
    <w:rsid w:val="00D66FC6"/>
    <w:rsid w:val="00D6700E"/>
    <w:rsid w:val="00D6704E"/>
    <w:rsid w:val="00D67224"/>
    <w:rsid w:val="00D673C2"/>
    <w:rsid w:val="00D673DE"/>
    <w:rsid w:val="00D674D9"/>
    <w:rsid w:val="00D675E4"/>
    <w:rsid w:val="00D67670"/>
    <w:rsid w:val="00D67765"/>
    <w:rsid w:val="00D677A6"/>
    <w:rsid w:val="00D67882"/>
    <w:rsid w:val="00D67A69"/>
    <w:rsid w:val="00D67AA1"/>
    <w:rsid w:val="00D67AA3"/>
    <w:rsid w:val="00D67C21"/>
    <w:rsid w:val="00D67D13"/>
    <w:rsid w:val="00D67D3D"/>
    <w:rsid w:val="00D67E5D"/>
    <w:rsid w:val="00D70057"/>
    <w:rsid w:val="00D70082"/>
    <w:rsid w:val="00D700E5"/>
    <w:rsid w:val="00D700E8"/>
    <w:rsid w:val="00D70105"/>
    <w:rsid w:val="00D701A9"/>
    <w:rsid w:val="00D701BE"/>
    <w:rsid w:val="00D70259"/>
    <w:rsid w:val="00D702E6"/>
    <w:rsid w:val="00D7059B"/>
    <w:rsid w:val="00D705C0"/>
    <w:rsid w:val="00D70617"/>
    <w:rsid w:val="00D7063F"/>
    <w:rsid w:val="00D706D6"/>
    <w:rsid w:val="00D706FB"/>
    <w:rsid w:val="00D7076A"/>
    <w:rsid w:val="00D707AA"/>
    <w:rsid w:val="00D7080D"/>
    <w:rsid w:val="00D70912"/>
    <w:rsid w:val="00D70A9D"/>
    <w:rsid w:val="00D70C1F"/>
    <w:rsid w:val="00D70C28"/>
    <w:rsid w:val="00D70C65"/>
    <w:rsid w:val="00D70CD1"/>
    <w:rsid w:val="00D70D6D"/>
    <w:rsid w:val="00D70E9F"/>
    <w:rsid w:val="00D70EAF"/>
    <w:rsid w:val="00D70EE7"/>
    <w:rsid w:val="00D71084"/>
    <w:rsid w:val="00D712EC"/>
    <w:rsid w:val="00D7176F"/>
    <w:rsid w:val="00D71898"/>
    <w:rsid w:val="00D7195D"/>
    <w:rsid w:val="00D71E40"/>
    <w:rsid w:val="00D71FAB"/>
    <w:rsid w:val="00D720C7"/>
    <w:rsid w:val="00D72141"/>
    <w:rsid w:val="00D722A0"/>
    <w:rsid w:val="00D722BC"/>
    <w:rsid w:val="00D722FC"/>
    <w:rsid w:val="00D723C9"/>
    <w:rsid w:val="00D7259A"/>
    <w:rsid w:val="00D7261C"/>
    <w:rsid w:val="00D72686"/>
    <w:rsid w:val="00D7290B"/>
    <w:rsid w:val="00D72926"/>
    <w:rsid w:val="00D72AB9"/>
    <w:rsid w:val="00D72AE8"/>
    <w:rsid w:val="00D72B9D"/>
    <w:rsid w:val="00D72DAE"/>
    <w:rsid w:val="00D72E20"/>
    <w:rsid w:val="00D72F9F"/>
    <w:rsid w:val="00D72FC5"/>
    <w:rsid w:val="00D72FDA"/>
    <w:rsid w:val="00D7303A"/>
    <w:rsid w:val="00D7311E"/>
    <w:rsid w:val="00D7318E"/>
    <w:rsid w:val="00D73192"/>
    <w:rsid w:val="00D7322C"/>
    <w:rsid w:val="00D732BD"/>
    <w:rsid w:val="00D733A9"/>
    <w:rsid w:val="00D733BA"/>
    <w:rsid w:val="00D7347C"/>
    <w:rsid w:val="00D73541"/>
    <w:rsid w:val="00D7356E"/>
    <w:rsid w:val="00D7369A"/>
    <w:rsid w:val="00D7389D"/>
    <w:rsid w:val="00D7397A"/>
    <w:rsid w:val="00D73BB2"/>
    <w:rsid w:val="00D73CB2"/>
    <w:rsid w:val="00D73D61"/>
    <w:rsid w:val="00D73E50"/>
    <w:rsid w:val="00D73EA8"/>
    <w:rsid w:val="00D74076"/>
    <w:rsid w:val="00D740B1"/>
    <w:rsid w:val="00D741EC"/>
    <w:rsid w:val="00D74392"/>
    <w:rsid w:val="00D74558"/>
    <w:rsid w:val="00D746C0"/>
    <w:rsid w:val="00D74753"/>
    <w:rsid w:val="00D7478D"/>
    <w:rsid w:val="00D74871"/>
    <w:rsid w:val="00D74AD4"/>
    <w:rsid w:val="00D74B71"/>
    <w:rsid w:val="00D74BDB"/>
    <w:rsid w:val="00D74BFB"/>
    <w:rsid w:val="00D74C34"/>
    <w:rsid w:val="00D74CBB"/>
    <w:rsid w:val="00D74DB0"/>
    <w:rsid w:val="00D74F94"/>
    <w:rsid w:val="00D75105"/>
    <w:rsid w:val="00D75169"/>
    <w:rsid w:val="00D7519D"/>
    <w:rsid w:val="00D75301"/>
    <w:rsid w:val="00D754AF"/>
    <w:rsid w:val="00D755A7"/>
    <w:rsid w:val="00D75657"/>
    <w:rsid w:val="00D756D3"/>
    <w:rsid w:val="00D757D4"/>
    <w:rsid w:val="00D758C7"/>
    <w:rsid w:val="00D75EB0"/>
    <w:rsid w:val="00D76077"/>
    <w:rsid w:val="00D76101"/>
    <w:rsid w:val="00D761CF"/>
    <w:rsid w:val="00D762CB"/>
    <w:rsid w:val="00D76379"/>
    <w:rsid w:val="00D76422"/>
    <w:rsid w:val="00D76660"/>
    <w:rsid w:val="00D766FC"/>
    <w:rsid w:val="00D7681F"/>
    <w:rsid w:val="00D7683D"/>
    <w:rsid w:val="00D76AF8"/>
    <w:rsid w:val="00D76C1F"/>
    <w:rsid w:val="00D76D9F"/>
    <w:rsid w:val="00D76E40"/>
    <w:rsid w:val="00D76E51"/>
    <w:rsid w:val="00D76EAF"/>
    <w:rsid w:val="00D77169"/>
    <w:rsid w:val="00D77174"/>
    <w:rsid w:val="00D7744D"/>
    <w:rsid w:val="00D7764F"/>
    <w:rsid w:val="00D77830"/>
    <w:rsid w:val="00D77AB3"/>
    <w:rsid w:val="00D77C1E"/>
    <w:rsid w:val="00D77F42"/>
    <w:rsid w:val="00D77FC5"/>
    <w:rsid w:val="00D80015"/>
    <w:rsid w:val="00D80247"/>
    <w:rsid w:val="00D80303"/>
    <w:rsid w:val="00D80554"/>
    <w:rsid w:val="00D8058C"/>
    <w:rsid w:val="00D805F0"/>
    <w:rsid w:val="00D8063D"/>
    <w:rsid w:val="00D8070A"/>
    <w:rsid w:val="00D8071A"/>
    <w:rsid w:val="00D809B4"/>
    <w:rsid w:val="00D80A20"/>
    <w:rsid w:val="00D80CBE"/>
    <w:rsid w:val="00D80DB5"/>
    <w:rsid w:val="00D80E6A"/>
    <w:rsid w:val="00D81039"/>
    <w:rsid w:val="00D81093"/>
    <w:rsid w:val="00D811BF"/>
    <w:rsid w:val="00D81291"/>
    <w:rsid w:val="00D812D3"/>
    <w:rsid w:val="00D813DB"/>
    <w:rsid w:val="00D814C5"/>
    <w:rsid w:val="00D81601"/>
    <w:rsid w:val="00D8165B"/>
    <w:rsid w:val="00D81A9A"/>
    <w:rsid w:val="00D81DE4"/>
    <w:rsid w:val="00D81FF9"/>
    <w:rsid w:val="00D823EA"/>
    <w:rsid w:val="00D8262B"/>
    <w:rsid w:val="00D82683"/>
    <w:rsid w:val="00D826CD"/>
    <w:rsid w:val="00D827E1"/>
    <w:rsid w:val="00D828D2"/>
    <w:rsid w:val="00D829E7"/>
    <w:rsid w:val="00D829F0"/>
    <w:rsid w:val="00D82A97"/>
    <w:rsid w:val="00D82B8E"/>
    <w:rsid w:val="00D82D19"/>
    <w:rsid w:val="00D82DA8"/>
    <w:rsid w:val="00D82DC3"/>
    <w:rsid w:val="00D82DF8"/>
    <w:rsid w:val="00D82EF1"/>
    <w:rsid w:val="00D82F00"/>
    <w:rsid w:val="00D82FAA"/>
    <w:rsid w:val="00D83203"/>
    <w:rsid w:val="00D832E6"/>
    <w:rsid w:val="00D8350C"/>
    <w:rsid w:val="00D83534"/>
    <w:rsid w:val="00D83594"/>
    <w:rsid w:val="00D837A3"/>
    <w:rsid w:val="00D838CC"/>
    <w:rsid w:val="00D83974"/>
    <w:rsid w:val="00D83976"/>
    <w:rsid w:val="00D83A01"/>
    <w:rsid w:val="00D83A3F"/>
    <w:rsid w:val="00D83B31"/>
    <w:rsid w:val="00D83B4E"/>
    <w:rsid w:val="00D83BE3"/>
    <w:rsid w:val="00D83C73"/>
    <w:rsid w:val="00D83D71"/>
    <w:rsid w:val="00D83E69"/>
    <w:rsid w:val="00D84045"/>
    <w:rsid w:val="00D841C4"/>
    <w:rsid w:val="00D8464D"/>
    <w:rsid w:val="00D846AB"/>
    <w:rsid w:val="00D84795"/>
    <w:rsid w:val="00D84822"/>
    <w:rsid w:val="00D849C8"/>
    <w:rsid w:val="00D84A59"/>
    <w:rsid w:val="00D84A96"/>
    <w:rsid w:val="00D84B02"/>
    <w:rsid w:val="00D84B70"/>
    <w:rsid w:val="00D84B88"/>
    <w:rsid w:val="00D84B97"/>
    <w:rsid w:val="00D84BF8"/>
    <w:rsid w:val="00D84C39"/>
    <w:rsid w:val="00D84D06"/>
    <w:rsid w:val="00D84D8B"/>
    <w:rsid w:val="00D84DB7"/>
    <w:rsid w:val="00D84DF2"/>
    <w:rsid w:val="00D84FC5"/>
    <w:rsid w:val="00D85006"/>
    <w:rsid w:val="00D850DF"/>
    <w:rsid w:val="00D85108"/>
    <w:rsid w:val="00D85147"/>
    <w:rsid w:val="00D851B4"/>
    <w:rsid w:val="00D851F7"/>
    <w:rsid w:val="00D853D3"/>
    <w:rsid w:val="00D85636"/>
    <w:rsid w:val="00D8574D"/>
    <w:rsid w:val="00D85760"/>
    <w:rsid w:val="00D858B7"/>
    <w:rsid w:val="00D85979"/>
    <w:rsid w:val="00D859F7"/>
    <w:rsid w:val="00D85A60"/>
    <w:rsid w:val="00D85AE4"/>
    <w:rsid w:val="00D85CE9"/>
    <w:rsid w:val="00D860B7"/>
    <w:rsid w:val="00D86555"/>
    <w:rsid w:val="00D8670E"/>
    <w:rsid w:val="00D8674F"/>
    <w:rsid w:val="00D867D6"/>
    <w:rsid w:val="00D86C0C"/>
    <w:rsid w:val="00D86C6C"/>
    <w:rsid w:val="00D86E13"/>
    <w:rsid w:val="00D86F33"/>
    <w:rsid w:val="00D870FB"/>
    <w:rsid w:val="00D8720C"/>
    <w:rsid w:val="00D87248"/>
    <w:rsid w:val="00D8725E"/>
    <w:rsid w:val="00D87293"/>
    <w:rsid w:val="00D87373"/>
    <w:rsid w:val="00D873B9"/>
    <w:rsid w:val="00D875E0"/>
    <w:rsid w:val="00D87641"/>
    <w:rsid w:val="00D87762"/>
    <w:rsid w:val="00D878F3"/>
    <w:rsid w:val="00D8796C"/>
    <w:rsid w:val="00D879B8"/>
    <w:rsid w:val="00D879DF"/>
    <w:rsid w:val="00D87BE3"/>
    <w:rsid w:val="00D87D65"/>
    <w:rsid w:val="00D87EBF"/>
    <w:rsid w:val="00D87FAA"/>
    <w:rsid w:val="00D90149"/>
    <w:rsid w:val="00D903BC"/>
    <w:rsid w:val="00D9064D"/>
    <w:rsid w:val="00D907BB"/>
    <w:rsid w:val="00D90834"/>
    <w:rsid w:val="00D909BC"/>
    <w:rsid w:val="00D90A91"/>
    <w:rsid w:val="00D90BD2"/>
    <w:rsid w:val="00D90C84"/>
    <w:rsid w:val="00D90D77"/>
    <w:rsid w:val="00D90D90"/>
    <w:rsid w:val="00D90F80"/>
    <w:rsid w:val="00D9105D"/>
    <w:rsid w:val="00D9107C"/>
    <w:rsid w:val="00D91332"/>
    <w:rsid w:val="00D91362"/>
    <w:rsid w:val="00D9139E"/>
    <w:rsid w:val="00D91754"/>
    <w:rsid w:val="00D9176D"/>
    <w:rsid w:val="00D9179F"/>
    <w:rsid w:val="00D917FD"/>
    <w:rsid w:val="00D9182D"/>
    <w:rsid w:val="00D91956"/>
    <w:rsid w:val="00D919DF"/>
    <w:rsid w:val="00D919E1"/>
    <w:rsid w:val="00D91A58"/>
    <w:rsid w:val="00D91C17"/>
    <w:rsid w:val="00D91D30"/>
    <w:rsid w:val="00D91DA4"/>
    <w:rsid w:val="00D91DE2"/>
    <w:rsid w:val="00D91EF1"/>
    <w:rsid w:val="00D91FE8"/>
    <w:rsid w:val="00D9211A"/>
    <w:rsid w:val="00D921C4"/>
    <w:rsid w:val="00D921E5"/>
    <w:rsid w:val="00D922E7"/>
    <w:rsid w:val="00D92314"/>
    <w:rsid w:val="00D926F3"/>
    <w:rsid w:val="00D92976"/>
    <w:rsid w:val="00D92A19"/>
    <w:rsid w:val="00D92A30"/>
    <w:rsid w:val="00D92A91"/>
    <w:rsid w:val="00D92B0A"/>
    <w:rsid w:val="00D92C02"/>
    <w:rsid w:val="00D92C58"/>
    <w:rsid w:val="00D92C82"/>
    <w:rsid w:val="00D92D37"/>
    <w:rsid w:val="00D92D95"/>
    <w:rsid w:val="00D92F13"/>
    <w:rsid w:val="00D92F3B"/>
    <w:rsid w:val="00D9302A"/>
    <w:rsid w:val="00D9316D"/>
    <w:rsid w:val="00D931A7"/>
    <w:rsid w:val="00D93250"/>
    <w:rsid w:val="00D932F4"/>
    <w:rsid w:val="00D93345"/>
    <w:rsid w:val="00D93448"/>
    <w:rsid w:val="00D93491"/>
    <w:rsid w:val="00D934E4"/>
    <w:rsid w:val="00D9350F"/>
    <w:rsid w:val="00D9362F"/>
    <w:rsid w:val="00D93654"/>
    <w:rsid w:val="00D93858"/>
    <w:rsid w:val="00D93BC4"/>
    <w:rsid w:val="00D93CC3"/>
    <w:rsid w:val="00D93D1F"/>
    <w:rsid w:val="00D93DA0"/>
    <w:rsid w:val="00D93F2C"/>
    <w:rsid w:val="00D93F4F"/>
    <w:rsid w:val="00D9402B"/>
    <w:rsid w:val="00D9430D"/>
    <w:rsid w:val="00D94384"/>
    <w:rsid w:val="00D943C8"/>
    <w:rsid w:val="00D9451B"/>
    <w:rsid w:val="00D946C2"/>
    <w:rsid w:val="00D946EC"/>
    <w:rsid w:val="00D94932"/>
    <w:rsid w:val="00D9496F"/>
    <w:rsid w:val="00D94CC7"/>
    <w:rsid w:val="00D9510C"/>
    <w:rsid w:val="00D95147"/>
    <w:rsid w:val="00D95164"/>
    <w:rsid w:val="00D95229"/>
    <w:rsid w:val="00D95420"/>
    <w:rsid w:val="00D95612"/>
    <w:rsid w:val="00D9575A"/>
    <w:rsid w:val="00D958DB"/>
    <w:rsid w:val="00D9593A"/>
    <w:rsid w:val="00D959BA"/>
    <w:rsid w:val="00D959CC"/>
    <w:rsid w:val="00D95B92"/>
    <w:rsid w:val="00D95D0B"/>
    <w:rsid w:val="00D95E8C"/>
    <w:rsid w:val="00D961B3"/>
    <w:rsid w:val="00D962E1"/>
    <w:rsid w:val="00D962E2"/>
    <w:rsid w:val="00D96418"/>
    <w:rsid w:val="00D96542"/>
    <w:rsid w:val="00D96547"/>
    <w:rsid w:val="00D9686E"/>
    <w:rsid w:val="00D96887"/>
    <w:rsid w:val="00D968DF"/>
    <w:rsid w:val="00D9698E"/>
    <w:rsid w:val="00D969B5"/>
    <w:rsid w:val="00D969BF"/>
    <w:rsid w:val="00D96B82"/>
    <w:rsid w:val="00D96B8F"/>
    <w:rsid w:val="00D96D38"/>
    <w:rsid w:val="00D97164"/>
    <w:rsid w:val="00D97167"/>
    <w:rsid w:val="00D9728B"/>
    <w:rsid w:val="00D97323"/>
    <w:rsid w:val="00D97531"/>
    <w:rsid w:val="00D97539"/>
    <w:rsid w:val="00D975CA"/>
    <w:rsid w:val="00D9764E"/>
    <w:rsid w:val="00D97805"/>
    <w:rsid w:val="00D97852"/>
    <w:rsid w:val="00D97912"/>
    <w:rsid w:val="00D9797F"/>
    <w:rsid w:val="00D97A54"/>
    <w:rsid w:val="00D97ADC"/>
    <w:rsid w:val="00D97B1D"/>
    <w:rsid w:val="00D97C39"/>
    <w:rsid w:val="00D97C6F"/>
    <w:rsid w:val="00D97D36"/>
    <w:rsid w:val="00D97D61"/>
    <w:rsid w:val="00D97D8F"/>
    <w:rsid w:val="00D97E2D"/>
    <w:rsid w:val="00D97F9A"/>
    <w:rsid w:val="00DA00D4"/>
    <w:rsid w:val="00DA0101"/>
    <w:rsid w:val="00DA028B"/>
    <w:rsid w:val="00DA02FD"/>
    <w:rsid w:val="00DA03EE"/>
    <w:rsid w:val="00DA04F7"/>
    <w:rsid w:val="00DA0610"/>
    <w:rsid w:val="00DA062D"/>
    <w:rsid w:val="00DA06C3"/>
    <w:rsid w:val="00DA0773"/>
    <w:rsid w:val="00DA092A"/>
    <w:rsid w:val="00DA0AA8"/>
    <w:rsid w:val="00DA0B15"/>
    <w:rsid w:val="00DA0B5E"/>
    <w:rsid w:val="00DA0DDF"/>
    <w:rsid w:val="00DA100E"/>
    <w:rsid w:val="00DA10ED"/>
    <w:rsid w:val="00DA1118"/>
    <w:rsid w:val="00DA116B"/>
    <w:rsid w:val="00DA1199"/>
    <w:rsid w:val="00DA1247"/>
    <w:rsid w:val="00DA1301"/>
    <w:rsid w:val="00DA13EB"/>
    <w:rsid w:val="00DA1435"/>
    <w:rsid w:val="00DA15E0"/>
    <w:rsid w:val="00DA17D4"/>
    <w:rsid w:val="00DA18A5"/>
    <w:rsid w:val="00DA1DA4"/>
    <w:rsid w:val="00DA1DC0"/>
    <w:rsid w:val="00DA1DCC"/>
    <w:rsid w:val="00DA1E3C"/>
    <w:rsid w:val="00DA1F20"/>
    <w:rsid w:val="00DA216B"/>
    <w:rsid w:val="00DA2176"/>
    <w:rsid w:val="00DA2450"/>
    <w:rsid w:val="00DA2573"/>
    <w:rsid w:val="00DA257B"/>
    <w:rsid w:val="00DA2703"/>
    <w:rsid w:val="00DA2841"/>
    <w:rsid w:val="00DA28FD"/>
    <w:rsid w:val="00DA2A55"/>
    <w:rsid w:val="00DA2A60"/>
    <w:rsid w:val="00DA2AFB"/>
    <w:rsid w:val="00DA2C35"/>
    <w:rsid w:val="00DA2D3D"/>
    <w:rsid w:val="00DA2E52"/>
    <w:rsid w:val="00DA2E82"/>
    <w:rsid w:val="00DA2F0D"/>
    <w:rsid w:val="00DA2F2D"/>
    <w:rsid w:val="00DA2FC4"/>
    <w:rsid w:val="00DA306A"/>
    <w:rsid w:val="00DA3264"/>
    <w:rsid w:val="00DA32CC"/>
    <w:rsid w:val="00DA32D9"/>
    <w:rsid w:val="00DA334E"/>
    <w:rsid w:val="00DA339D"/>
    <w:rsid w:val="00DA3669"/>
    <w:rsid w:val="00DA368B"/>
    <w:rsid w:val="00DA3701"/>
    <w:rsid w:val="00DA3747"/>
    <w:rsid w:val="00DA37CB"/>
    <w:rsid w:val="00DA385F"/>
    <w:rsid w:val="00DA3860"/>
    <w:rsid w:val="00DA3A95"/>
    <w:rsid w:val="00DA3CBC"/>
    <w:rsid w:val="00DA3D55"/>
    <w:rsid w:val="00DA3E64"/>
    <w:rsid w:val="00DA41E7"/>
    <w:rsid w:val="00DA4266"/>
    <w:rsid w:val="00DA426C"/>
    <w:rsid w:val="00DA42EF"/>
    <w:rsid w:val="00DA4425"/>
    <w:rsid w:val="00DA4454"/>
    <w:rsid w:val="00DA45D3"/>
    <w:rsid w:val="00DA4687"/>
    <w:rsid w:val="00DA4712"/>
    <w:rsid w:val="00DA4749"/>
    <w:rsid w:val="00DA48AC"/>
    <w:rsid w:val="00DA4A0A"/>
    <w:rsid w:val="00DA4A3E"/>
    <w:rsid w:val="00DA4AE2"/>
    <w:rsid w:val="00DA4B2E"/>
    <w:rsid w:val="00DA4D80"/>
    <w:rsid w:val="00DA4DAB"/>
    <w:rsid w:val="00DA4DCE"/>
    <w:rsid w:val="00DA4ED9"/>
    <w:rsid w:val="00DA4EEE"/>
    <w:rsid w:val="00DA4F13"/>
    <w:rsid w:val="00DA4F96"/>
    <w:rsid w:val="00DA4FAA"/>
    <w:rsid w:val="00DA5039"/>
    <w:rsid w:val="00DA5106"/>
    <w:rsid w:val="00DA512B"/>
    <w:rsid w:val="00DA5300"/>
    <w:rsid w:val="00DA5362"/>
    <w:rsid w:val="00DA53C1"/>
    <w:rsid w:val="00DA53F9"/>
    <w:rsid w:val="00DA56B2"/>
    <w:rsid w:val="00DA56F3"/>
    <w:rsid w:val="00DA5755"/>
    <w:rsid w:val="00DA5784"/>
    <w:rsid w:val="00DA57B7"/>
    <w:rsid w:val="00DA57BE"/>
    <w:rsid w:val="00DA5962"/>
    <w:rsid w:val="00DA596E"/>
    <w:rsid w:val="00DA5D40"/>
    <w:rsid w:val="00DA5DD0"/>
    <w:rsid w:val="00DA5DE6"/>
    <w:rsid w:val="00DA5F68"/>
    <w:rsid w:val="00DA604A"/>
    <w:rsid w:val="00DA6149"/>
    <w:rsid w:val="00DA6199"/>
    <w:rsid w:val="00DA6241"/>
    <w:rsid w:val="00DA6244"/>
    <w:rsid w:val="00DA62B9"/>
    <w:rsid w:val="00DA6315"/>
    <w:rsid w:val="00DA6389"/>
    <w:rsid w:val="00DA63C0"/>
    <w:rsid w:val="00DA6470"/>
    <w:rsid w:val="00DA64DB"/>
    <w:rsid w:val="00DA66D4"/>
    <w:rsid w:val="00DA6853"/>
    <w:rsid w:val="00DA690A"/>
    <w:rsid w:val="00DA69BB"/>
    <w:rsid w:val="00DA69D7"/>
    <w:rsid w:val="00DA6AD3"/>
    <w:rsid w:val="00DA6BBB"/>
    <w:rsid w:val="00DA6CCF"/>
    <w:rsid w:val="00DA6F2A"/>
    <w:rsid w:val="00DA6FF3"/>
    <w:rsid w:val="00DA7158"/>
    <w:rsid w:val="00DA73A2"/>
    <w:rsid w:val="00DA73DF"/>
    <w:rsid w:val="00DA767E"/>
    <w:rsid w:val="00DA78A5"/>
    <w:rsid w:val="00DA7916"/>
    <w:rsid w:val="00DA7C24"/>
    <w:rsid w:val="00DA7EC4"/>
    <w:rsid w:val="00DB0312"/>
    <w:rsid w:val="00DB0447"/>
    <w:rsid w:val="00DB0452"/>
    <w:rsid w:val="00DB04F5"/>
    <w:rsid w:val="00DB056B"/>
    <w:rsid w:val="00DB059B"/>
    <w:rsid w:val="00DB070F"/>
    <w:rsid w:val="00DB0739"/>
    <w:rsid w:val="00DB0B0C"/>
    <w:rsid w:val="00DB0B7F"/>
    <w:rsid w:val="00DB0C01"/>
    <w:rsid w:val="00DB0CB7"/>
    <w:rsid w:val="00DB0EE2"/>
    <w:rsid w:val="00DB0EF4"/>
    <w:rsid w:val="00DB0F89"/>
    <w:rsid w:val="00DB1015"/>
    <w:rsid w:val="00DB107D"/>
    <w:rsid w:val="00DB11A8"/>
    <w:rsid w:val="00DB1230"/>
    <w:rsid w:val="00DB1382"/>
    <w:rsid w:val="00DB13C0"/>
    <w:rsid w:val="00DB1407"/>
    <w:rsid w:val="00DB19C1"/>
    <w:rsid w:val="00DB1B4C"/>
    <w:rsid w:val="00DB1C63"/>
    <w:rsid w:val="00DB1D31"/>
    <w:rsid w:val="00DB1DD8"/>
    <w:rsid w:val="00DB24DA"/>
    <w:rsid w:val="00DB24ED"/>
    <w:rsid w:val="00DB250C"/>
    <w:rsid w:val="00DB2616"/>
    <w:rsid w:val="00DB26AE"/>
    <w:rsid w:val="00DB280D"/>
    <w:rsid w:val="00DB2877"/>
    <w:rsid w:val="00DB28AD"/>
    <w:rsid w:val="00DB29CB"/>
    <w:rsid w:val="00DB2A1F"/>
    <w:rsid w:val="00DB2C62"/>
    <w:rsid w:val="00DB2FD1"/>
    <w:rsid w:val="00DB3213"/>
    <w:rsid w:val="00DB32E9"/>
    <w:rsid w:val="00DB3440"/>
    <w:rsid w:val="00DB347E"/>
    <w:rsid w:val="00DB394B"/>
    <w:rsid w:val="00DB39AB"/>
    <w:rsid w:val="00DB3BA6"/>
    <w:rsid w:val="00DB3C0E"/>
    <w:rsid w:val="00DB3C85"/>
    <w:rsid w:val="00DB3D72"/>
    <w:rsid w:val="00DB3D7C"/>
    <w:rsid w:val="00DB3E1E"/>
    <w:rsid w:val="00DB3F6A"/>
    <w:rsid w:val="00DB40F7"/>
    <w:rsid w:val="00DB44C3"/>
    <w:rsid w:val="00DB4524"/>
    <w:rsid w:val="00DB45E8"/>
    <w:rsid w:val="00DB4637"/>
    <w:rsid w:val="00DB467A"/>
    <w:rsid w:val="00DB4898"/>
    <w:rsid w:val="00DB4931"/>
    <w:rsid w:val="00DB49FE"/>
    <w:rsid w:val="00DB4AD0"/>
    <w:rsid w:val="00DB4D31"/>
    <w:rsid w:val="00DB4E9D"/>
    <w:rsid w:val="00DB4F1A"/>
    <w:rsid w:val="00DB4F5A"/>
    <w:rsid w:val="00DB5113"/>
    <w:rsid w:val="00DB5296"/>
    <w:rsid w:val="00DB5307"/>
    <w:rsid w:val="00DB53E9"/>
    <w:rsid w:val="00DB5444"/>
    <w:rsid w:val="00DB5476"/>
    <w:rsid w:val="00DB55BA"/>
    <w:rsid w:val="00DB5616"/>
    <w:rsid w:val="00DB56A9"/>
    <w:rsid w:val="00DB585F"/>
    <w:rsid w:val="00DB58C3"/>
    <w:rsid w:val="00DB5917"/>
    <w:rsid w:val="00DB5970"/>
    <w:rsid w:val="00DB5C25"/>
    <w:rsid w:val="00DB5C5C"/>
    <w:rsid w:val="00DB5E2C"/>
    <w:rsid w:val="00DB5E3D"/>
    <w:rsid w:val="00DB5E82"/>
    <w:rsid w:val="00DB61C8"/>
    <w:rsid w:val="00DB64E3"/>
    <w:rsid w:val="00DB652D"/>
    <w:rsid w:val="00DB654D"/>
    <w:rsid w:val="00DB669E"/>
    <w:rsid w:val="00DB6735"/>
    <w:rsid w:val="00DB675F"/>
    <w:rsid w:val="00DB6781"/>
    <w:rsid w:val="00DB69AC"/>
    <w:rsid w:val="00DB69B3"/>
    <w:rsid w:val="00DB69E6"/>
    <w:rsid w:val="00DB6AA9"/>
    <w:rsid w:val="00DB6ADA"/>
    <w:rsid w:val="00DB6C0E"/>
    <w:rsid w:val="00DB6D3C"/>
    <w:rsid w:val="00DB6E51"/>
    <w:rsid w:val="00DB6E9F"/>
    <w:rsid w:val="00DB6EC6"/>
    <w:rsid w:val="00DB6FD6"/>
    <w:rsid w:val="00DB701B"/>
    <w:rsid w:val="00DB702E"/>
    <w:rsid w:val="00DB70FD"/>
    <w:rsid w:val="00DB71EA"/>
    <w:rsid w:val="00DB7368"/>
    <w:rsid w:val="00DB7375"/>
    <w:rsid w:val="00DB7620"/>
    <w:rsid w:val="00DB774F"/>
    <w:rsid w:val="00DB77AA"/>
    <w:rsid w:val="00DB7A7F"/>
    <w:rsid w:val="00DB7B22"/>
    <w:rsid w:val="00DB7BC9"/>
    <w:rsid w:val="00DB7C0E"/>
    <w:rsid w:val="00DB7C48"/>
    <w:rsid w:val="00DB7CE3"/>
    <w:rsid w:val="00DB7D4B"/>
    <w:rsid w:val="00DC0237"/>
    <w:rsid w:val="00DC061E"/>
    <w:rsid w:val="00DC0652"/>
    <w:rsid w:val="00DC06E1"/>
    <w:rsid w:val="00DC06FC"/>
    <w:rsid w:val="00DC07AC"/>
    <w:rsid w:val="00DC09AD"/>
    <w:rsid w:val="00DC0A1F"/>
    <w:rsid w:val="00DC0B24"/>
    <w:rsid w:val="00DC0BA3"/>
    <w:rsid w:val="00DC0BE7"/>
    <w:rsid w:val="00DC0BED"/>
    <w:rsid w:val="00DC0C67"/>
    <w:rsid w:val="00DC0C8B"/>
    <w:rsid w:val="00DC0D06"/>
    <w:rsid w:val="00DC0D3F"/>
    <w:rsid w:val="00DC0F49"/>
    <w:rsid w:val="00DC1107"/>
    <w:rsid w:val="00DC1274"/>
    <w:rsid w:val="00DC14E6"/>
    <w:rsid w:val="00DC1536"/>
    <w:rsid w:val="00DC1565"/>
    <w:rsid w:val="00DC1573"/>
    <w:rsid w:val="00DC158D"/>
    <w:rsid w:val="00DC1659"/>
    <w:rsid w:val="00DC17C6"/>
    <w:rsid w:val="00DC19D9"/>
    <w:rsid w:val="00DC202A"/>
    <w:rsid w:val="00DC2136"/>
    <w:rsid w:val="00DC2341"/>
    <w:rsid w:val="00DC23A9"/>
    <w:rsid w:val="00DC23CE"/>
    <w:rsid w:val="00DC2446"/>
    <w:rsid w:val="00DC24EE"/>
    <w:rsid w:val="00DC2624"/>
    <w:rsid w:val="00DC26F8"/>
    <w:rsid w:val="00DC277B"/>
    <w:rsid w:val="00DC2819"/>
    <w:rsid w:val="00DC2AD2"/>
    <w:rsid w:val="00DC2B36"/>
    <w:rsid w:val="00DC2B70"/>
    <w:rsid w:val="00DC2B98"/>
    <w:rsid w:val="00DC2BF4"/>
    <w:rsid w:val="00DC2D97"/>
    <w:rsid w:val="00DC2D9E"/>
    <w:rsid w:val="00DC2EDC"/>
    <w:rsid w:val="00DC2F53"/>
    <w:rsid w:val="00DC3015"/>
    <w:rsid w:val="00DC3096"/>
    <w:rsid w:val="00DC30A0"/>
    <w:rsid w:val="00DC3229"/>
    <w:rsid w:val="00DC34FD"/>
    <w:rsid w:val="00DC35EC"/>
    <w:rsid w:val="00DC36D7"/>
    <w:rsid w:val="00DC3967"/>
    <w:rsid w:val="00DC39BC"/>
    <w:rsid w:val="00DC3AAD"/>
    <w:rsid w:val="00DC3ABD"/>
    <w:rsid w:val="00DC3BD2"/>
    <w:rsid w:val="00DC3BDA"/>
    <w:rsid w:val="00DC3CAA"/>
    <w:rsid w:val="00DC3F3D"/>
    <w:rsid w:val="00DC3F42"/>
    <w:rsid w:val="00DC3FE8"/>
    <w:rsid w:val="00DC4263"/>
    <w:rsid w:val="00DC43AC"/>
    <w:rsid w:val="00DC4401"/>
    <w:rsid w:val="00DC4452"/>
    <w:rsid w:val="00DC44DB"/>
    <w:rsid w:val="00DC4575"/>
    <w:rsid w:val="00DC45AD"/>
    <w:rsid w:val="00DC45BD"/>
    <w:rsid w:val="00DC45CE"/>
    <w:rsid w:val="00DC46C5"/>
    <w:rsid w:val="00DC480D"/>
    <w:rsid w:val="00DC4812"/>
    <w:rsid w:val="00DC48B3"/>
    <w:rsid w:val="00DC494F"/>
    <w:rsid w:val="00DC4972"/>
    <w:rsid w:val="00DC4A9B"/>
    <w:rsid w:val="00DC4B90"/>
    <w:rsid w:val="00DC4BFE"/>
    <w:rsid w:val="00DC4C11"/>
    <w:rsid w:val="00DC4F8B"/>
    <w:rsid w:val="00DC4FE9"/>
    <w:rsid w:val="00DC5161"/>
    <w:rsid w:val="00DC51BC"/>
    <w:rsid w:val="00DC526B"/>
    <w:rsid w:val="00DC533A"/>
    <w:rsid w:val="00DC53B6"/>
    <w:rsid w:val="00DC54D9"/>
    <w:rsid w:val="00DC5590"/>
    <w:rsid w:val="00DC5647"/>
    <w:rsid w:val="00DC583A"/>
    <w:rsid w:val="00DC58AE"/>
    <w:rsid w:val="00DC59A2"/>
    <w:rsid w:val="00DC5BCA"/>
    <w:rsid w:val="00DC5D5E"/>
    <w:rsid w:val="00DC5E5A"/>
    <w:rsid w:val="00DC6042"/>
    <w:rsid w:val="00DC621C"/>
    <w:rsid w:val="00DC62C4"/>
    <w:rsid w:val="00DC658C"/>
    <w:rsid w:val="00DC66BD"/>
    <w:rsid w:val="00DC6700"/>
    <w:rsid w:val="00DC671B"/>
    <w:rsid w:val="00DC676D"/>
    <w:rsid w:val="00DC6829"/>
    <w:rsid w:val="00DC6BE6"/>
    <w:rsid w:val="00DC6C09"/>
    <w:rsid w:val="00DC6CF8"/>
    <w:rsid w:val="00DC6D94"/>
    <w:rsid w:val="00DC6F24"/>
    <w:rsid w:val="00DC757F"/>
    <w:rsid w:val="00DC75D0"/>
    <w:rsid w:val="00DC7674"/>
    <w:rsid w:val="00DC7974"/>
    <w:rsid w:val="00DC79C9"/>
    <w:rsid w:val="00DC7BED"/>
    <w:rsid w:val="00DC7CDA"/>
    <w:rsid w:val="00DC7E70"/>
    <w:rsid w:val="00DC7EDA"/>
    <w:rsid w:val="00DD011B"/>
    <w:rsid w:val="00DD0177"/>
    <w:rsid w:val="00DD0298"/>
    <w:rsid w:val="00DD02AB"/>
    <w:rsid w:val="00DD042A"/>
    <w:rsid w:val="00DD043A"/>
    <w:rsid w:val="00DD050D"/>
    <w:rsid w:val="00DD0545"/>
    <w:rsid w:val="00DD05EF"/>
    <w:rsid w:val="00DD05F3"/>
    <w:rsid w:val="00DD07CD"/>
    <w:rsid w:val="00DD0815"/>
    <w:rsid w:val="00DD0928"/>
    <w:rsid w:val="00DD0991"/>
    <w:rsid w:val="00DD0BBB"/>
    <w:rsid w:val="00DD0C4A"/>
    <w:rsid w:val="00DD0C91"/>
    <w:rsid w:val="00DD0D54"/>
    <w:rsid w:val="00DD0E42"/>
    <w:rsid w:val="00DD0E59"/>
    <w:rsid w:val="00DD113A"/>
    <w:rsid w:val="00DD1225"/>
    <w:rsid w:val="00DD132A"/>
    <w:rsid w:val="00DD15BB"/>
    <w:rsid w:val="00DD1691"/>
    <w:rsid w:val="00DD16E6"/>
    <w:rsid w:val="00DD1761"/>
    <w:rsid w:val="00DD17F4"/>
    <w:rsid w:val="00DD18E8"/>
    <w:rsid w:val="00DD193B"/>
    <w:rsid w:val="00DD1A32"/>
    <w:rsid w:val="00DD1BE9"/>
    <w:rsid w:val="00DD1BF9"/>
    <w:rsid w:val="00DD1CCC"/>
    <w:rsid w:val="00DD1D5A"/>
    <w:rsid w:val="00DD1EA0"/>
    <w:rsid w:val="00DD20B0"/>
    <w:rsid w:val="00DD21CE"/>
    <w:rsid w:val="00DD220A"/>
    <w:rsid w:val="00DD2524"/>
    <w:rsid w:val="00DD2635"/>
    <w:rsid w:val="00DD26A2"/>
    <w:rsid w:val="00DD2744"/>
    <w:rsid w:val="00DD2850"/>
    <w:rsid w:val="00DD285C"/>
    <w:rsid w:val="00DD28C9"/>
    <w:rsid w:val="00DD2969"/>
    <w:rsid w:val="00DD29CF"/>
    <w:rsid w:val="00DD2A7C"/>
    <w:rsid w:val="00DD2BE1"/>
    <w:rsid w:val="00DD2C3F"/>
    <w:rsid w:val="00DD2EA5"/>
    <w:rsid w:val="00DD2F46"/>
    <w:rsid w:val="00DD2F7B"/>
    <w:rsid w:val="00DD2FE0"/>
    <w:rsid w:val="00DD304A"/>
    <w:rsid w:val="00DD335C"/>
    <w:rsid w:val="00DD338A"/>
    <w:rsid w:val="00DD3408"/>
    <w:rsid w:val="00DD3416"/>
    <w:rsid w:val="00DD3450"/>
    <w:rsid w:val="00DD34CD"/>
    <w:rsid w:val="00DD34F8"/>
    <w:rsid w:val="00DD36C2"/>
    <w:rsid w:val="00DD37A3"/>
    <w:rsid w:val="00DD38E3"/>
    <w:rsid w:val="00DD3A26"/>
    <w:rsid w:val="00DD3AE0"/>
    <w:rsid w:val="00DD3B28"/>
    <w:rsid w:val="00DD3BB9"/>
    <w:rsid w:val="00DD3C43"/>
    <w:rsid w:val="00DD3E1E"/>
    <w:rsid w:val="00DD3FC8"/>
    <w:rsid w:val="00DD4009"/>
    <w:rsid w:val="00DD4048"/>
    <w:rsid w:val="00DD41AD"/>
    <w:rsid w:val="00DD4275"/>
    <w:rsid w:val="00DD4544"/>
    <w:rsid w:val="00DD478F"/>
    <w:rsid w:val="00DD47FF"/>
    <w:rsid w:val="00DD49AF"/>
    <w:rsid w:val="00DD4A42"/>
    <w:rsid w:val="00DD4ABB"/>
    <w:rsid w:val="00DD4C63"/>
    <w:rsid w:val="00DD4EEB"/>
    <w:rsid w:val="00DD4F50"/>
    <w:rsid w:val="00DD5263"/>
    <w:rsid w:val="00DD5266"/>
    <w:rsid w:val="00DD5308"/>
    <w:rsid w:val="00DD56C4"/>
    <w:rsid w:val="00DD5745"/>
    <w:rsid w:val="00DD57F7"/>
    <w:rsid w:val="00DD57F9"/>
    <w:rsid w:val="00DD5935"/>
    <w:rsid w:val="00DD5AC3"/>
    <w:rsid w:val="00DD5B2D"/>
    <w:rsid w:val="00DD5E45"/>
    <w:rsid w:val="00DD5E49"/>
    <w:rsid w:val="00DD5E98"/>
    <w:rsid w:val="00DD5EAD"/>
    <w:rsid w:val="00DD5F3C"/>
    <w:rsid w:val="00DD5F4C"/>
    <w:rsid w:val="00DD6057"/>
    <w:rsid w:val="00DD62A9"/>
    <w:rsid w:val="00DD62FA"/>
    <w:rsid w:val="00DD635F"/>
    <w:rsid w:val="00DD6367"/>
    <w:rsid w:val="00DD637D"/>
    <w:rsid w:val="00DD6426"/>
    <w:rsid w:val="00DD6528"/>
    <w:rsid w:val="00DD6610"/>
    <w:rsid w:val="00DD662F"/>
    <w:rsid w:val="00DD68C9"/>
    <w:rsid w:val="00DD6A5C"/>
    <w:rsid w:val="00DD6B3E"/>
    <w:rsid w:val="00DD6BE9"/>
    <w:rsid w:val="00DD6BFD"/>
    <w:rsid w:val="00DD6C0F"/>
    <w:rsid w:val="00DD6D54"/>
    <w:rsid w:val="00DD6D9C"/>
    <w:rsid w:val="00DD6E12"/>
    <w:rsid w:val="00DD6EDA"/>
    <w:rsid w:val="00DD6F6F"/>
    <w:rsid w:val="00DD6FBA"/>
    <w:rsid w:val="00DD71FF"/>
    <w:rsid w:val="00DD7219"/>
    <w:rsid w:val="00DD7359"/>
    <w:rsid w:val="00DD73FB"/>
    <w:rsid w:val="00DD7551"/>
    <w:rsid w:val="00DD75AA"/>
    <w:rsid w:val="00DD772D"/>
    <w:rsid w:val="00DD79F4"/>
    <w:rsid w:val="00DD7C7E"/>
    <w:rsid w:val="00DD7FDC"/>
    <w:rsid w:val="00DE0491"/>
    <w:rsid w:val="00DE04D7"/>
    <w:rsid w:val="00DE05DA"/>
    <w:rsid w:val="00DE0600"/>
    <w:rsid w:val="00DE075C"/>
    <w:rsid w:val="00DE07A6"/>
    <w:rsid w:val="00DE0A3B"/>
    <w:rsid w:val="00DE0B18"/>
    <w:rsid w:val="00DE0B2E"/>
    <w:rsid w:val="00DE0B53"/>
    <w:rsid w:val="00DE0B73"/>
    <w:rsid w:val="00DE0BF8"/>
    <w:rsid w:val="00DE0C23"/>
    <w:rsid w:val="00DE0DDE"/>
    <w:rsid w:val="00DE0E40"/>
    <w:rsid w:val="00DE1013"/>
    <w:rsid w:val="00DE11CC"/>
    <w:rsid w:val="00DE12B6"/>
    <w:rsid w:val="00DE139C"/>
    <w:rsid w:val="00DE13ED"/>
    <w:rsid w:val="00DE16BC"/>
    <w:rsid w:val="00DE171C"/>
    <w:rsid w:val="00DE1793"/>
    <w:rsid w:val="00DE1836"/>
    <w:rsid w:val="00DE1894"/>
    <w:rsid w:val="00DE19FD"/>
    <w:rsid w:val="00DE1BAA"/>
    <w:rsid w:val="00DE1CEE"/>
    <w:rsid w:val="00DE1F05"/>
    <w:rsid w:val="00DE200E"/>
    <w:rsid w:val="00DE20B9"/>
    <w:rsid w:val="00DE219F"/>
    <w:rsid w:val="00DE2225"/>
    <w:rsid w:val="00DE227E"/>
    <w:rsid w:val="00DE229C"/>
    <w:rsid w:val="00DE2354"/>
    <w:rsid w:val="00DE248B"/>
    <w:rsid w:val="00DE253A"/>
    <w:rsid w:val="00DE265E"/>
    <w:rsid w:val="00DE2683"/>
    <w:rsid w:val="00DE2B30"/>
    <w:rsid w:val="00DE2B60"/>
    <w:rsid w:val="00DE2B8C"/>
    <w:rsid w:val="00DE2BC6"/>
    <w:rsid w:val="00DE2C3B"/>
    <w:rsid w:val="00DE2D23"/>
    <w:rsid w:val="00DE2E08"/>
    <w:rsid w:val="00DE2E27"/>
    <w:rsid w:val="00DE3269"/>
    <w:rsid w:val="00DE33B7"/>
    <w:rsid w:val="00DE34C6"/>
    <w:rsid w:val="00DE34D5"/>
    <w:rsid w:val="00DE3595"/>
    <w:rsid w:val="00DE3642"/>
    <w:rsid w:val="00DE36D3"/>
    <w:rsid w:val="00DE3740"/>
    <w:rsid w:val="00DE3774"/>
    <w:rsid w:val="00DE3861"/>
    <w:rsid w:val="00DE3B10"/>
    <w:rsid w:val="00DE3BFF"/>
    <w:rsid w:val="00DE3CBE"/>
    <w:rsid w:val="00DE3CC8"/>
    <w:rsid w:val="00DE3D03"/>
    <w:rsid w:val="00DE3FA8"/>
    <w:rsid w:val="00DE4001"/>
    <w:rsid w:val="00DE4129"/>
    <w:rsid w:val="00DE413C"/>
    <w:rsid w:val="00DE419C"/>
    <w:rsid w:val="00DE41F2"/>
    <w:rsid w:val="00DE45C7"/>
    <w:rsid w:val="00DE49D2"/>
    <w:rsid w:val="00DE4AEF"/>
    <w:rsid w:val="00DE4B49"/>
    <w:rsid w:val="00DE4C41"/>
    <w:rsid w:val="00DE4C5B"/>
    <w:rsid w:val="00DE4C98"/>
    <w:rsid w:val="00DE4CA0"/>
    <w:rsid w:val="00DE4D5F"/>
    <w:rsid w:val="00DE500F"/>
    <w:rsid w:val="00DE50A6"/>
    <w:rsid w:val="00DE515E"/>
    <w:rsid w:val="00DE539B"/>
    <w:rsid w:val="00DE54E6"/>
    <w:rsid w:val="00DE566C"/>
    <w:rsid w:val="00DE56F4"/>
    <w:rsid w:val="00DE575B"/>
    <w:rsid w:val="00DE576A"/>
    <w:rsid w:val="00DE595B"/>
    <w:rsid w:val="00DE5A6C"/>
    <w:rsid w:val="00DE5A90"/>
    <w:rsid w:val="00DE5C3F"/>
    <w:rsid w:val="00DE5E05"/>
    <w:rsid w:val="00DE5FA2"/>
    <w:rsid w:val="00DE603C"/>
    <w:rsid w:val="00DE60E7"/>
    <w:rsid w:val="00DE62A8"/>
    <w:rsid w:val="00DE667D"/>
    <w:rsid w:val="00DE6730"/>
    <w:rsid w:val="00DE69CC"/>
    <w:rsid w:val="00DE6A1A"/>
    <w:rsid w:val="00DE6BE3"/>
    <w:rsid w:val="00DE6C67"/>
    <w:rsid w:val="00DE6FF2"/>
    <w:rsid w:val="00DE7072"/>
    <w:rsid w:val="00DE70F0"/>
    <w:rsid w:val="00DE719B"/>
    <w:rsid w:val="00DE72AB"/>
    <w:rsid w:val="00DE7317"/>
    <w:rsid w:val="00DE7338"/>
    <w:rsid w:val="00DE7397"/>
    <w:rsid w:val="00DE73A3"/>
    <w:rsid w:val="00DE753E"/>
    <w:rsid w:val="00DE772B"/>
    <w:rsid w:val="00DE7A6C"/>
    <w:rsid w:val="00DE7BAA"/>
    <w:rsid w:val="00DE7BCA"/>
    <w:rsid w:val="00DE7C8B"/>
    <w:rsid w:val="00DE7D41"/>
    <w:rsid w:val="00DE7E0C"/>
    <w:rsid w:val="00DE7E11"/>
    <w:rsid w:val="00DE7E95"/>
    <w:rsid w:val="00DF002C"/>
    <w:rsid w:val="00DF057B"/>
    <w:rsid w:val="00DF05CE"/>
    <w:rsid w:val="00DF067D"/>
    <w:rsid w:val="00DF07A3"/>
    <w:rsid w:val="00DF07F8"/>
    <w:rsid w:val="00DF08DF"/>
    <w:rsid w:val="00DF095F"/>
    <w:rsid w:val="00DF0A08"/>
    <w:rsid w:val="00DF0A94"/>
    <w:rsid w:val="00DF0B76"/>
    <w:rsid w:val="00DF0CB7"/>
    <w:rsid w:val="00DF0DC0"/>
    <w:rsid w:val="00DF0EF9"/>
    <w:rsid w:val="00DF0F57"/>
    <w:rsid w:val="00DF0F8C"/>
    <w:rsid w:val="00DF0FF7"/>
    <w:rsid w:val="00DF104E"/>
    <w:rsid w:val="00DF1217"/>
    <w:rsid w:val="00DF1307"/>
    <w:rsid w:val="00DF1495"/>
    <w:rsid w:val="00DF14BF"/>
    <w:rsid w:val="00DF159B"/>
    <w:rsid w:val="00DF1747"/>
    <w:rsid w:val="00DF1844"/>
    <w:rsid w:val="00DF1899"/>
    <w:rsid w:val="00DF18DD"/>
    <w:rsid w:val="00DF18EE"/>
    <w:rsid w:val="00DF1C8C"/>
    <w:rsid w:val="00DF1CFC"/>
    <w:rsid w:val="00DF1F55"/>
    <w:rsid w:val="00DF2099"/>
    <w:rsid w:val="00DF2147"/>
    <w:rsid w:val="00DF21BF"/>
    <w:rsid w:val="00DF2222"/>
    <w:rsid w:val="00DF22F7"/>
    <w:rsid w:val="00DF230E"/>
    <w:rsid w:val="00DF2389"/>
    <w:rsid w:val="00DF24D8"/>
    <w:rsid w:val="00DF2507"/>
    <w:rsid w:val="00DF2609"/>
    <w:rsid w:val="00DF2610"/>
    <w:rsid w:val="00DF2634"/>
    <w:rsid w:val="00DF2666"/>
    <w:rsid w:val="00DF266E"/>
    <w:rsid w:val="00DF26D4"/>
    <w:rsid w:val="00DF27D7"/>
    <w:rsid w:val="00DF292A"/>
    <w:rsid w:val="00DF2CC5"/>
    <w:rsid w:val="00DF30D9"/>
    <w:rsid w:val="00DF3265"/>
    <w:rsid w:val="00DF32A0"/>
    <w:rsid w:val="00DF32F3"/>
    <w:rsid w:val="00DF349B"/>
    <w:rsid w:val="00DF3513"/>
    <w:rsid w:val="00DF3579"/>
    <w:rsid w:val="00DF3659"/>
    <w:rsid w:val="00DF3751"/>
    <w:rsid w:val="00DF3A9F"/>
    <w:rsid w:val="00DF3AD6"/>
    <w:rsid w:val="00DF3CEF"/>
    <w:rsid w:val="00DF3EA2"/>
    <w:rsid w:val="00DF41C9"/>
    <w:rsid w:val="00DF43DB"/>
    <w:rsid w:val="00DF43FF"/>
    <w:rsid w:val="00DF443C"/>
    <w:rsid w:val="00DF46AF"/>
    <w:rsid w:val="00DF4749"/>
    <w:rsid w:val="00DF47E0"/>
    <w:rsid w:val="00DF4804"/>
    <w:rsid w:val="00DF486C"/>
    <w:rsid w:val="00DF49A5"/>
    <w:rsid w:val="00DF4A15"/>
    <w:rsid w:val="00DF4BD2"/>
    <w:rsid w:val="00DF4C67"/>
    <w:rsid w:val="00DF4DFB"/>
    <w:rsid w:val="00DF51B8"/>
    <w:rsid w:val="00DF528A"/>
    <w:rsid w:val="00DF54B0"/>
    <w:rsid w:val="00DF550C"/>
    <w:rsid w:val="00DF5530"/>
    <w:rsid w:val="00DF55AD"/>
    <w:rsid w:val="00DF5705"/>
    <w:rsid w:val="00DF59AF"/>
    <w:rsid w:val="00DF5A9E"/>
    <w:rsid w:val="00DF5AAB"/>
    <w:rsid w:val="00DF5BDD"/>
    <w:rsid w:val="00DF5C7F"/>
    <w:rsid w:val="00DF5E3D"/>
    <w:rsid w:val="00DF5FEB"/>
    <w:rsid w:val="00DF60C3"/>
    <w:rsid w:val="00DF60EC"/>
    <w:rsid w:val="00DF6170"/>
    <w:rsid w:val="00DF61B6"/>
    <w:rsid w:val="00DF61EE"/>
    <w:rsid w:val="00DF6523"/>
    <w:rsid w:val="00DF65D5"/>
    <w:rsid w:val="00DF677F"/>
    <w:rsid w:val="00DF68F2"/>
    <w:rsid w:val="00DF69F5"/>
    <w:rsid w:val="00DF6A0A"/>
    <w:rsid w:val="00DF6D3F"/>
    <w:rsid w:val="00DF6F76"/>
    <w:rsid w:val="00DF7066"/>
    <w:rsid w:val="00DF7071"/>
    <w:rsid w:val="00DF713C"/>
    <w:rsid w:val="00DF7143"/>
    <w:rsid w:val="00DF7409"/>
    <w:rsid w:val="00DF7496"/>
    <w:rsid w:val="00DF74CA"/>
    <w:rsid w:val="00DF7629"/>
    <w:rsid w:val="00DF765B"/>
    <w:rsid w:val="00DF7686"/>
    <w:rsid w:val="00DF76E9"/>
    <w:rsid w:val="00DF7709"/>
    <w:rsid w:val="00DF77EC"/>
    <w:rsid w:val="00DF7829"/>
    <w:rsid w:val="00DF78B6"/>
    <w:rsid w:val="00DF78C7"/>
    <w:rsid w:val="00DF7B11"/>
    <w:rsid w:val="00DF7B44"/>
    <w:rsid w:val="00DF7C55"/>
    <w:rsid w:val="00DF7CCC"/>
    <w:rsid w:val="00DF7CFD"/>
    <w:rsid w:val="00DF7EBC"/>
    <w:rsid w:val="00E0006A"/>
    <w:rsid w:val="00E00098"/>
    <w:rsid w:val="00E00121"/>
    <w:rsid w:val="00E001CC"/>
    <w:rsid w:val="00E00375"/>
    <w:rsid w:val="00E0039F"/>
    <w:rsid w:val="00E004F4"/>
    <w:rsid w:val="00E00720"/>
    <w:rsid w:val="00E00976"/>
    <w:rsid w:val="00E00985"/>
    <w:rsid w:val="00E009F6"/>
    <w:rsid w:val="00E00B0A"/>
    <w:rsid w:val="00E00C74"/>
    <w:rsid w:val="00E00CFF"/>
    <w:rsid w:val="00E00E3D"/>
    <w:rsid w:val="00E00E89"/>
    <w:rsid w:val="00E0100A"/>
    <w:rsid w:val="00E0102F"/>
    <w:rsid w:val="00E013DC"/>
    <w:rsid w:val="00E013DD"/>
    <w:rsid w:val="00E014C2"/>
    <w:rsid w:val="00E01681"/>
    <w:rsid w:val="00E016CF"/>
    <w:rsid w:val="00E018B2"/>
    <w:rsid w:val="00E01A08"/>
    <w:rsid w:val="00E01BC8"/>
    <w:rsid w:val="00E01F75"/>
    <w:rsid w:val="00E020F2"/>
    <w:rsid w:val="00E0211B"/>
    <w:rsid w:val="00E02146"/>
    <w:rsid w:val="00E0215E"/>
    <w:rsid w:val="00E0225B"/>
    <w:rsid w:val="00E02261"/>
    <w:rsid w:val="00E02402"/>
    <w:rsid w:val="00E02672"/>
    <w:rsid w:val="00E0279D"/>
    <w:rsid w:val="00E027D2"/>
    <w:rsid w:val="00E0287A"/>
    <w:rsid w:val="00E02908"/>
    <w:rsid w:val="00E0291A"/>
    <w:rsid w:val="00E02AAE"/>
    <w:rsid w:val="00E02BDF"/>
    <w:rsid w:val="00E02D07"/>
    <w:rsid w:val="00E02F06"/>
    <w:rsid w:val="00E02F39"/>
    <w:rsid w:val="00E02F3E"/>
    <w:rsid w:val="00E0301D"/>
    <w:rsid w:val="00E030A1"/>
    <w:rsid w:val="00E030E9"/>
    <w:rsid w:val="00E03241"/>
    <w:rsid w:val="00E03354"/>
    <w:rsid w:val="00E03449"/>
    <w:rsid w:val="00E034C4"/>
    <w:rsid w:val="00E035BC"/>
    <w:rsid w:val="00E0371B"/>
    <w:rsid w:val="00E0385F"/>
    <w:rsid w:val="00E038AC"/>
    <w:rsid w:val="00E03A29"/>
    <w:rsid w:val="00E03D45"/>
    <w:rsid w:val="00E03E55"/>
    <w:rsid w:val="00E03FF7"/>
    <w:rsid w:val="00E040EC"/>
    <w:rsid w:val="00E041EB"/>
    <w:rsid w:val="00E04207"/>
    <w:rsid w:val="00E0424B"/>
    <w:rsid w:val="00E042DF"/>
    <w:rsid w:val="00E04321"/>
    <w:rsid w:val="00E0439C"/>
    <w:rsid w:val="00E04471"/>
    <w:rsid w:val="00E0457A"/>
    <w:rsid w:val="00E045A5"/>
    <w:rsid w:val="00E04950"/>
    <w:rsid w:val="00E04A51"/>
    <w:rsid w:val="00E04A77"/>
    <w:rsid w:val="00E04C5E"/>
    <w:rsid w:val="00E04CC0"/>
    <w:rsid w:val="00E04D53"/>
    <w:rsid w:val="00E04E58"/>
    <w:rsid w:val="00E04E8A"/>
    <w:rsid w:val="00E04EF1"/>
    <w:rsid w:val="00E04F60"/>
    <w:rsid w:val="00E050C1"/>
    <w:rsid w:val="00E051C1"/>
    <w:rsid w:val="00E05220"/>
    <w:rsid w:val="00E054A3"/>
    <w:rsid w:val="00E054DC"/>
    <w:rsid w:val="00E055F9"/>
    <w:rsid w:val="00E05688"/>
    <w:rsid w:val="00E056E2"/>
    <w:rsid w:val="00E057A4"/>
    <w:rsid w:val="00E058BB"/>
    <w:rsid w:val="00E05B98"/>
    <w:rsid w:val="00E05C3C"/>
    <w:rsid w:val="00E05D9A"/>
    <w:rsid w:val="00E06061"/>
    <w:rsid w:val="00E061B8"/>
    <w:rsid w:val="00E06643"/>
    <w:rsid w:val="00E06700"/>
    <w:rsid w:val="00E0677E"/>
    <w:rsid w:val="00E0688B"/>
    <w:rsid w:val="00E068AC"/>
    <w:rsid w:val="00E068F2"/>
    <w:rsid w:val="00E068F4"/>
    <w:rsid w:val="00E0698C"/>
    <w:rsid w:val="00E069A7"/>
    <w:rsid w:val="00E069E3"/>
    <w:rsid w:val="00E06A4B"/>
    <w:rsid w:val="00E06A53"/>
    <w:rsid w:val="00E06AF0"/>
    <w:rsid w:val="00E06B17"/>
    <w:rsid w:val="00E06B1F"/>
    <w:rsid w:val="00E06B2F"/>
    <w:rsid w:val="00E06D8A"/>
    <w:rsid w:val="00E06F26"/>
    <w:rsid w:val="00E06F28"/>
    <w:rsid w:val="00E06FCE"/>
    <w:rsid w:val="00E070C5"/>
    <w:rsid w:val="00E07219"/>
    <w:rsid w:val="00E07411"/>
    <w:rsid w:val="00E0766F"/>
    <w:rsid w:val="00E0781C"/>
    <w:rsid w:val="00E078B1"/>
    <w:rsid w:val="00E07915"/>
    <w:rsid w:val="00E07947"/>
    <w:rsid w:val="00E07D24"/>
    <w:rsid w:val="00E07DFA"/>
    <w:rsid w:val="00E07EFB"/>
    <w:rsid w:val="00E07F03"/>
    <w:rsid w:val="00E1032D"/>
    <w:rsid w:val="00E10392"/>
    <w:rsid w:val="00E1044E"/>
    <w:rsid w:val="00E10464"/>
    <w:rsid w:val="00E10467"/>
    <w:rsid w:val="00E10579"/>
    <w:rsid w:val="00E10714"/>
    <w:rsid w:val="00E1075A"/>
    <w:rsid w:val="00E1092A"/>
    <w:rsid w:val="00E109A5"/>
    <w:rsid w:val="00E109BF"/>
    <w:rsid w:val="00E10A0A"/>
    <w:rsid w:val="00E10BF5"/>
    <w:rsid w:val="00E10D92"/>
    <w:rsid w:val="00E10DEF"/>
    <w:rsid w:val="00E10EE7"/>
    <w:rsid w:val="00E10F44"/>
    <w:rsid w:val="00E1109B"/>
    <w:rsid w:val="00E11165"/>
    <w:rsid w:val="00E111EE"/>
    <w:rsid w:val="00E112E1"/>
    <w:rsid w:val="00E11439"/>
    <w:rsid w:val="00E11649"/>
    <w:rsid w:val="00E11748"/>
    <w:rsid w:val="00E1175F"/>
    <w:rsid w:val="00E11A16"/>
    <w:rsid w:val="00E11A3F"/>
    <w:rsid w:val="00E11A71"/>
    <w:rsid w:val="00E11A82"/>
    <w:rsid w:val="00E11ABE"/>
    <w:rsid w:val="00E11B38"/>
    <w:rsid w:val="00E11BF3"/>
    <w:rsid w:val="00E11C1A"/>
    <w:rsid w:val="00E11D29"/>
    <w:rsid w:val="00E11D71"/>
    <w:rsid w:val="00E11F3E"/>
    <w:rsid w:val="00E11FA3"/>
    <w:rsid w:val="00E12012"/>
    <w:rsid w:val="00E12182"/>
    <w:rsid w:val="00E12193"/>
    <w:rsid w:val="00E1227E"/>
    <w:rsid w:val="00E12311"/>
    <w:rsid w:val="00E1248D"/>
    <w:rsid w:val="00E126B0"/>
    <w:rsid w:val="00E12752"/>
    <w:rsid w:val="00E1280A"/>
    <w:rsid w:val="00E12BA2"/>
    <w:rsid w:val="00E12BBD"/>
    <w:rsid w:val="00E12F41"/>
    <w:rsid w:val="00E1307B"/>
    <w:rsid w:val="00E13176"/>
    <w:rsid w:val="00E13213"/>
    <w:rsid w:val="00E13282"/>
    <w:rsid w:val="00E1328B"/>
    <w:rsid w:val="00E132E3"/>
    <w:rsid w:val="00E13327"/>
    <w:rsid w:val="00E1334F"/>
    <w:rsid w:val="00E133B3"/>
    <w:rsid w:val="00E13483"/>
    <w:rsid w:val="00E134BA"/>
    <w:rsid w:val="00E137F4"/>
    <w:rsid w:val="00E13937"/>
    <w:rsid w:val="00E13A48"/>
    <w:rsid w:val="00E13D11"/>
    <w:rsid w:val="00E13D86"/>
    <w:rsid w:val="00E13DA0"/>
    <w:rsid w:val="00E13DE4"/>
    <w:rsid w:val="00E13ECE"/>
    <w:rsid w:val="00E13EF0"/>
    <w:rsid w:val="00E13EF2"/>
    <w:rsid w:val="00E13F75"/>
    <w:rsid w:val="00E140ED"/>
    <w:rsid w:val="00E14286"/>
    <w:rsid w:val="00E14409"/>
    <w:rsid w:val="00E144D1"/>
    <w:rsid w:val="00E14579"/>
    <w:rsid w:val="00E145A8"/>
    <w:rsid w:val="00E145F7"/>
    <w:rsid w:val="00E14739"/>
    <w:rsid w:val="00E14957"/>
    <w:rsid w:val="00E1495C"/>
    <w:rsid w:val="00E14A81"/>
    <w:rsid w:val="00E14B3E"/>
    <w:rsid w:val="00E14D0D"/>
    <w:rsid w:val="00E14D17"/>
    <w:rsid w:val="00E14EE0"/>
    <w:rsid w:val="00E1507C"/>
    <w:rsid w:val="00E1509E"/>
    <w:rsid w:val="00E15148"/>
    <w:rsid w:val="00E151DF"/>
    <w:rsid w:val="00E151E8"/>
    <w:rsid w:val="00E1522E"/>
    <w:rsid w:val="00E1536B"/>
    <w:rsid w:val="00E154BD"/>
    <w:rsid w:val="00E15509"/>
    <w:rsid w:val="00E15779"/>
    <w:rsid w:val="00E15786"/>
    <w:rsid w:val="00E15875"/>
    <w:rsid w:val="00E15893"/>
    <w:rsid w:val="00E158CC"/>
    <w:rsid w:val="00E15ACB"/>
    <w:rsid w:val="00E15D73"/>
    <w:rsid w:val="00E15D87"/>
    <w:rsid w:val="00E15DD2"/>
    <w:rsid w:val="00E15E85"/>
    <w:rsid w:val="00E15E8E"/>
    <w:rsid w:val="00E15ED5"/>
    <w:rsid w:val="00E15F55"/>
    <w:rsid w:val="00E15FDC"/>
    <w:rsid w:val="00E160EA"/>
    <w:rsid w:val="00E1611C"/>
    <w:rsid w:val="00E1612B"/>
    <w:rsid w:val="00E1616C"/>
    <w:rsid w:val="00E163DC"/>
    <w:rsid w:val="00E16403"/>
    <w:rsid w:val="00E164E4"/>
    <w:rsid w:val="00E165FD"/>
    <w:rsid w:val="00E1669A"/>
    <w:rsid w:val="00E168C9"/>
    <w:rsid w:val="00E168E6"/>
    <w:rsid w:val="00E1691D"/>
    <w:rsid w:val="00E16A0B"/>
    <w:rsid w:val="00E16A27"/>
    <w:rsid w:val="00E16A2A"/>
    <w:rsid w:val="00E17075"/>
    <w:rsid w:val="00E170A4"/>
    <w:rsid w:val="00E170EF"/>
    <w:rsid w:val="00E17231"/>
    <w:rsid w:val="00E172C0"/>
    <w:rsid w:val="00E172D4"/>
    <w:rsid w:val="00E1731C"/>
    <w:rsid w:val="00E173EF"/>
    <w:rsid w:val="00E17409"/>
    <w:rsid w:val="00E175DF"/>
    <w:rsid w:val="00E17671"/>
    <w:rsid w:val="00E17867"/>
    <w:rsid w:val="00E178DA"/>
    <w:rsid w:val="00E17AEC"/>
    <w:rsid w:val="00E17B15"/>
    <w:rsid w:val="00E17BD5"/>
    <w:rsid w:val="00E17D7D"/>
    <w:rsid w:val="00E17E2D"/>
    <w:rsid w:val="00E17EAB"/>
    <w:rsid w:val="00E20343"/>
    <w:rsid w:val="00E20481"/>
    <w:rsid w:val="00E2049B"/>
    <w:rsid w:val="00E204A3"/>
    <w:rsid w:val="00E206A0"/>
    <w:rsid w:val="00E206A6"/>
    <w:rsid w:val="00E206AC"/>
    <w:rsid w:val="00E2073F"/>
    <w:rsid w:val="00E2078C"/>
    <w:rsid w:val="00E20A2A"/>
    <w:rsid w:val="00E20BA3"/>
    <w:rsid w:val="00E20C94"/>
    <w:rsid w:val="00E20DEB"/>
    <w:rsid w:val="00E20DFC"/>
    <w:rsid w:val="00E20E56"/>
    <w:rsid w:val="00E2106B"/>
    <w:rsid w:val="00E210A5"/>
    <w:rsid w:val="00E21115"/>
    <w:rsid w:val="00E21232"/>
    <w:rsid w:val="00E2152E"/>
    <w:rsid w:val="00E2170E"/>
    <w:rsid w:val="00E21838"/>
    <w:rsid w:val="00E21844"/>
    <w:rsid w:val="00E2192B"/>
    <w:rsid w:val="00E21980"/>
    <w:rsid w:val="00E219F4"/>
    <w:rsid w:val="00E21A08"/>
    <w:rsid w:val="00E21ACB"/>
    <w:rsid w:val="00E21D89"/>
    <w:rsid w:val="00E21E9F"/>
    <w:rsid w:val="00E22059"/>
    <w:rsid w:val="00E22188"/>
    <w:rsid w:val="00E221D6"/>
    <w:rsid w:val="00E22234"/>
    <w:rsid w:val="00E222D3"/>
    <w:rsid w:val="00E22436"/>
    <w:rsid w:val="00E224A1"/>
    <w:rsid w:val="00E224A2"/>
    <w:rsid w:val="00E225A1"/>
    <w:rsid w:val="00E2264D"/>
    <w:rsid w:val="00E22746"/>
    <w:rsid w:val="00E227AA"/>
    <w:rsid w:val="00E2281C"/>
    <w:rsid w:val="00E2283F"/>
    <w:rsid w:val="00E22872"/>
    <w:rsid w:val="00E229F9"/>
    <w:rsid w:val="00E22A34"/>
    <w:rsid w:val="00E22A55"/>
    <w:rsid w:val="00E22B33"/>
    <w:rsid w:val="00E22B67"/>
    <w:rsid w:val="00E22B8C"/>
    <w:rsid w:val="00E22E1F"/>
    <w:rsid w:val="00E23269"/>
    <w:rsid w:val="00E23325"/>
    <w:rsid w:val="00E233C9"/>
    <w:rsid w:val="00E235F7"/>
    <w:rsid w:val="00E23689"/>
    <w:rsid w:val="00E23A23"/>
    <w:rsid w:val="00E23B48"/>
    <w:rsid w:val="00E240C4"/>
    <w:rsid w:val="00E24128"/>
    <w:rsid w:val="00E24140"/>
    <w:rsid w:val="00E242A0"/>
    <w:rsid w:val="00E244B7"/>
    <w:rsid w:val="00E24521"/>
    <w:rsid w:val="00E24525"/>
    <w:rsid w:val="00E245F2"/>
    <w:rsid w:val="00E2473B"/>
    <w:rsid w:val="00E24750"/>
    <w:rsid w:val="00E24754"/>
    <w:rsid w:val="00E2475D"/>
    <w:rsid w:val="00E24A38"/>
    <w:rsid w:val="00E24ADB"/>
    <w:rsid w:val="00E24B73"/>
    <w:rsid w:val="00E24C3E"/>
    <w:rsid w:val="00E24D23"/>
    <w:rsid w:val="00E24D72"/>
    <w:rsid w:val="00E24E38"/>
    <w:rsid w:val="00E24F02"/>
    <w:rsid w:val="00E25005"/>
    <w:rsid w:val="00E250E5"/>
    <w:rsid w:val="00E25121"/>
    <w:rsid w:val="00E25124"/>
    <w:rsid w:val="00E25291"/>
    <w:rsid w:val="00E25443"/>
    <w:rsid w:val="00E2544A"/>
    <w:rsid w:val="00E2545B"/>
    <w:rsid w:val="00E25729"/>
    <w:rsid w:val="00E25852"/>
    <w:rsid w:val="00E259F1"/>
    <w:rsid w:val="00E25A0D"/>
    <w:rsid w:val="00E25B85"/>
    <w:rsid w:val="00E25D8B"/>
    <w:rsid w:val="00E25F3C"/>
    <w:rsid w:val="00E26022"/>
    <w:rsid w:val="00E2605E"/>
    <w:rsid w:val="00E26072"/>
    <w:rsid w:val="00E261A6"/>
    <w:rsid w:val="00E261DD"/>
    <w:rsid w:val="00E261FF"/>
    <w:rsid w:val="00E26335"/>
    <w:rsid w:val="00E2661C"/>
    <w:rsid w:val="00E2663E"/>
    <w:rsid w:val="00E2676E"/>
    <w:rsid w:val="00E267CA"/>
    <w:rsid w:val="00E26883"/>
    <w:rsid w:val="00E26907"/>
    <w:rsid w:val="00E26B53"/>
    <w:rsid w:val="00E26B56"/>
    <w:rsid w:val="00E26E10"/>
    <w:rsid w:val="00E26E8D"/>
    <w:rsid w:val="00E26EDE"/>
    <w:rsid w:val="00E26F1B"/>
    <w:rsid w:val="00E26F5B"/>
    <w:rsid w:val="00E27183"/>
    <w:rsid w:val="00E27701"/>
    <w:rsid w:val="00E277B5"/>
    <w:rsid w:val="00E27906"/>
    <w:rsid w:val="00E27A49"/>
    <w:rsid w:val="00E27A7E"/>
    <w:rsid w:val="00E27BD6"/>
    <w:rsid w:val="00E27CA6"/>
    <w:rsid w:val="00E27CFF"/>
    <w:rsid w:val="00E30074"/>
    <w:rsid w:val="00E30104"/>
    <w:rsid w:val="00E3023A"/>
    <w:rsid w:val="00E30328"/>
    <w:rsid w:val="00E304BA"/>
    <w:rsid w:val="00E3060D"/>
    <w:rsid w:val="00E3075F"/>
    <w:rsid w:val="00E30808"/>
    <w:rsid w:val="00E308C9"/>
    <w:rsid w:val="00E30986"/>
    <w:rsid w:val="00E30A17"/>
    <w:rsid w:val="00E30AEC"/>
    <w:rsid w:val="00E30C10"/>
    <w:rsid w:val="00E30F29"/>
    <w:rsid w:val="00E310D9"/>
    <w:rsid w:val="00E31150"/>
    <w:rsid w:val="00E311D1"/>
    <w:rsid w:val="00E3177E"/>
    <w:rsid w:val="00E3179C"/>
    <w:rsid w:val="00E31813"/>
    <w:rsid w:val="00E3187B"/>
    <w:rsid w:val="00E31884"/>
    <w:rsid w:val="00E31B07"/>
    <w:rsid w:val="00E31D64"/>
    <w:rsid w:val="00E31DB7"/>
    <w:rsid w:val="00E31E62"/>
    <w:rsid w:val="00E32368"/>
    <w:rsid w:val="00E32414"/>
    <w:rsid w:val="00E32613"/>
    <w:rsid w:val="00E32684"/>
    <w:rsid w:val="00E3278E"/>
    <w:rsid w:val="00E328A4"/>
    <w:rsid w:val="00E32927"/>
    <w:rsid w:val="00E32B6F"/>
    <w:rsid w:val="00E32CC8"/>
    <w:rsid w:val="00E32E8B"/>
    <w:rsid w:val="00E32E8E"/>
    <w:rsid w:val="00E32E9F"/>
    <w:rsid w:val="00E32F46"/>
    <w:rsid w:val="00E32FF1"/>
    <w:rsid w:val="00E3316F"/>
    <w:rsid w:val="00E33341"/>
    <w:rsid w:val="00E33390"/>
    <w:rsid w:val="00E33528"/>
    <w:rsid w:val="00E335A7"/>
    <w:rsid w:val="00E3370E"/>
    <w:rsid w:val="00E33726"/>
    <w:rsid w:val="00E337C5"/>
    <w:rsid w:val="00E338AC"/>
    <w:rsid w:val="00E33C1D"/>
    <w:rsid w:val="00E33E09"/>
    <w:rsid w:val="00E33ED7"/>
    <w:rsid w:val="00E3404E"/>
    <w:rsid w:val="00E340DE"/>
    <w:rsid w:val="00E34264"/>
    <w:rsid w:val="00E3442B"/>
    <w:rsid w:val="00E34556"/>
    <w:rsid w:val="00E3455A"/>
    <w:rsid w:val="00E346B9"/>
    <w:rsid w:val="00E34778"/>
    <w:rsid w:val="00E34A02"/>
    <w:rsid w:val="00E34A88"/>
    <w:rsid w:val="00E34AF9"/>
    <w:rsid w:val="00E34CFB"/>
    <w:rsid w:val="00E34E38"/>
    <w:rsid w:val="00E34E72"/>
    <w:rsid w:val="00E34ED8"/>
    <w:rsid w:val="00E34F1F"/>
    <w:rsid w:val="00E34F3B"/>
    <w:rsid w:val="00E34F59"/>
    <w:rsid w:val="00E35079"/>
    <w:rsid w:val="00E350C8"/>
    <w:rsid w:val="00E35145"/>
    <w:rsid w:val="00E35162"/>
    <w:rsid w:val="00E35200"/>
    <w:rsid w:val="00E35225"/>
    <w:rsid w:val="00E3527B"/>
    <w:rsid w:val="00E35383"/>
    <w:rsid w:val="00E354CF"/>
    <w:rsid w:val="00E35540"/>
    <w:rsid w:val="00E355E3"/>
    <w:rsid w:val="00E35604"/>
    <w:rsid w:val="00E35722"/>
    <w:rsid w:val="00E35955"/>
    <w:rsid w:val="00E359D5"/>
    <w:rsid w:val="00E35A19"/>
    <w:rsid w:val="00E35A4C"/>
    <w:rsid w:val="00E35B76"/>
    <w:rsid w:val="00E35C3A"/>
    <w:rsid w:val="00E35DF3"/>
    <w:rsid w:val="00E35DFD"/>
    <w:rsid w:val="00E35E9A"/>
    <w:rsid w:val="00E36064"/>
    <w:rsid w:val="00E361DA"/>
    <w:rsid w:val="00E362C7"/>
    <w:rsid w:val="00E36345"/>
    <w:rsid w:val="00E3635B"/>
    <w:rsid w:val="00E363E0"/>
    <w:rsid w:val="00E36412"/>
    <w:rsid w:val="00E364AC"/>
    <w:rsid w:val="00E364B2"/>
    <w:rsid w:val="00E364FD"/>
    <w:rsid w:val="00E3684C"/>
    <w:rsid w:val="00E369FB"/>
    <w:rsid w:val="00E36C3F"/>
    <w:rsid w:val="00E36DC8"/>
    <w:rsid w:val="00E36DD8"/>
    <w:rsid w:val="00E36DF9"/>
    <w:rsid w:val="00E36E9C"/>
    <w:rsid w:val="00E36FFA"/>
    <w:rsid w:val="00E371B4"/>
    <w:rsid w:val="00E374B5"/>
    <w:rsid w:val="00E37647"/>
    <w:rsid w:val="00E3769B"/>
    <w:rsid w:val="00E37930"/>
    <w:rsid w:val="00E379B5"/>
    <w:rsid w:val="00E37A50"/>
    <w:rsid w:val="00E37BE6"/>
    <w:rsid w:val="00E37EBF"/>
    <w:rsid w:val="00E37EEA"/>
    <w:rsid w:val="00E4029A"/>
    <w:rsid w:val="00E40313"/>
    <w:rsid w:val="00E405AD"/>
    <w:rsid w:val="00E405EE"/>
    <w:rsid w:val="00E405F5"/>
    <w:rsid w:val="00E406BC"/>
    <w:rsid w:val="00E4079D"/>
    <w:rsid w:val="00E4088D"/>
    <w:rsid w:val="00E40A37"/>
    <w:rsid w:val="00E40B4F"/>
    <w:rsid w:val="00E40B8D"/>
    <w:rsid w:val="00E40C65"/>
    <w:rsid w:val="00E40CA4"/>
    <w:rsid w:val="00E40D35"/>
    <w:rsid w:val="00E40EC4"/>
    <w:rsid w:val="00E40EE2"/>
    <w:rsid w:val="00E40EE5"/>
    <w:rsid w:val="00E41286"/>
    <w:rsid w:val="00E412DF"/>
    <w:rsid w:val="00E4132A"/>
    <w:rsid w:val="00E413A1"/>
    <w:rsid w:val="00E41466"/>
    <w:rsid w:val="00E41652"/>
    <w:rsid w:val="00E41654"/>
    <w:rsid w:val="00E416C7"/>
    <w:rsid w:val="00E41794"/>
    <w:rsid w:val="00E418BA"/>
    <w:rsid w:val="00E41B45"/>
    <w:rsid w:val="00E41CC4"/>
    <w:rsid w:val="00E41EB4"/>
    <w:rsid w:val="00E41EDC"/>
    <w:rsid w:val="00E41FB5"/>
    <w:rsid w:val="00E41FDB"/>
    <w:rsid w:val="00E4222F"/>
    <w:rsid w:val="00E42265"/>
    <w:rsid w:val="00E42365"/>
    <w:rsid w:val="00E423E7"/>
    <w:rsid w:val="00E4245C"/>
    <w:rsid w:val="00E424A5"/>
    <w:rsid w:val="00E425D8"/>
    <w:rsid w:val="00E42707"/>
    <w:rsid w:val="00E42739"/>
    <w:rsid w:val="00E427D2"/>
    <w:rsid w:val="00E4282C"/>
    <w:rsid w:val="00E428C2"/>
    <w:rsid w:val="00E42AF4"/>
    <w:rsid w:val="00E42B9F"/>
    <w:rsid w:val="00E42EC9"/>
    <w:rsid w:val="00E43024"/>
    <w:rsid w:val="00E430BF"/>
    <w:rsid w:val="00E430D9"/>
    <w:rsid w:val="00E43270"/>
    <w:rsid w:val="00E43339"/>
    <w:rsid w:val="00E4354B"/>
    <w:rsid w:val="00E4368B"/>
    <w:rsid w:val="00E43736"/>
    <w:rsid w:val="00E43826"/>
    <w:rsid w:val="00E43886"/>
    <w:rsid w:val="00E43940"/>
    <w:rsid w:val="00E439B3"/>
    <w:rsid w:val="00E43A9E"/>
    <w:rsid w:val="00E43BC9"/>
    <w:rsid w:val="00E43CB1"/>
    <w:rsid w:val="00E43CE3"/>
    <w:rsid w:val="00E43CFF"/>
    <w:rsid w:val="00E43D6F"/>
    <w:rsid w:val="00E43E2A"/>
    <w:rsid w:val="00E43FBA"/>
    <w:rsid w:val="00E43FE1"/>
    <w:rsid w:val="00E44042"/>
    <w:rsid w:val="00E4432E"/>
    <w:rsid w:val="00E44400"/>
    <w:rsid w:val="00E444A7"/>
    <w:rsid w:val="00E445EA"/>
    <w:rsid w:val="00E44622"/>
    <w:rsid w:val="00E44686"/>
    <w:rsid w:val="00E446BB"/>
    <w:rsid w:val="00E4483A"/>
    <w:rsid w:val="00E44889"/>
    <w:rsid w:val="00E44945"/>
    <w:rsid w:val="00E44A02"/>
    <w:rsid w:val="00E44B72"/>
    <w:rsid w:val="00E44C8C"/>
    <w:rsid w:val="00E44DDC"/>
    <w:rsid w:val="00E44EDB"/>
    <w:rsid w:val="00E44F39"/>
    <w:rsid w:val="00E44F51"/>
    <w:rsid w:val="00E45030"/>
    <w:rsid w:val="00E450E4"/>
    <w:rsid w:val="00E4519B"/>
    <w:rsid w:val="00E45253"/>
    <w:rsid w:val="00E4536D"/>
    <w:rsid w:val="00E453B9"/>
    <w:rsid w:val="00E453D4"/>
    <w:rsid w:val="00E45697"/>
    <w:rsid w:val="00E458C1"/>
    <w:rsid w:val="00E458D5"/>
    <w:rsid w:val="00E45BAB"/>
    <w:rsid w:val="00E45D3A"/>
    <w:rsid w:val="00E46192"/>
    <w:rsid w:val="00E46220"/>
    <w:rsid w:val="00E4639D"/>
    <w:rsid w:val="00E463C5"/>
    <w:rsid w:val="00E4654E"/>
    <w:rsid w:val="00E4663D"/>
    <w:rsid w:val="00E46716"/>
    <w:rsid w:val="00E4671B"/>
    <w:rsid w:val="00E467EF"/>
    <w:rsid w:val="00E46940"/>
    <w:rsid w:val="00E469A5"/>
    <w:rsid w:val="00E46A6C"/>
    <w:rsid w:val="00E46AD6"/>
    <w:rsid w:val="00E46C6E"/>
    <w:rsid w:val="00E46CAC"/>
    <w:rsid w:val="00E46E78"/>
    <w:rsid w:val="00E46F1E"/>
    <w:rsid w:val="00E46F4F"/>
    <w:rsid w:val="00E47058"/>
    <w:rsid w:val="00E470FB"/>
    <w:rsid w:val="00E4711C"/>
    <w:rsid w:val="00E471AE"/>
    <w:rsid w:val="00E47215"/>
    <w:rsid w:val="00E47421"/>
    <w:rsid w:val="00E47440"/>
    <w:rsid w:val="00E4748E"/>
    <w:rsid w:val="00E4758A"/>
    <w:rsid w:val="00E47698"/>
    <w:rsid w:val="00E4778D"/>
    <w:rsid w:val="00E4779F"/>
    <w:rsid w:val="00E4787C"/>
    <w:rsid w:val="00E47946"/>
    <w:rsid w:val="00E479F9"/>
    <w:rsid w:val="00E47AD1"/>
    <w:rsid w:val="00E47ADF"/>
    <w:rsid w:val="00E47C61"/>
    <w:rsid w:val="00E47C8C"/>
    <w:rsid w:val="00E47CAF"/>
    <w:rsid w:val="00E47D99"/>
    <w:rsid w:val="00E47F36"/>
    <w:rsid w:val="00E47FDA"/>
    <w:rsid w:val="00E500EF"/>
    <w:rsid w:val="00E501B8"/>
    <w:rsid w:val="00E5022C"/>
    <w:rsid w:val="00E502B9"/>
    <w:rsid w:val="00E50477"/>
    <w:rsid w:val="00E50692"/>
    <w:rsid w:val="00E5075E"/>
    <w:rsid w:val="00E50776"/>
    <w:rsid w:val="00E50A62"/>
    <w:rsid w:val="00E50AAB"/>
    <w:rsid w:val="00E50C2E"/>
    <w:rsid w:val="00E50D1F"/>
    <w:rsid w:val="00E50D47"/>
    <w:rsid w:val="00E50D4B"/>
    <w:rsid w:val="00E50F62"/>
    <w:rsid w:val="00E511F4"/>
    <w:rsid w:val="00E513ED"/>
    <w:rsid w:val="00E515C5"/>
    <w:rsid w:val="00E516B9"/>
    <w:rsid w:val="00E51704"/>
    <w:rsid w:val="00E517C8"/>
    <w:rsid w:val="00E5184D"/>
    <w:rsid w:val="00E51A0E"/>
    <w:rsid w:val="00E51ACF"/>
    <w:rsid w:val="00E51AF9"/>
    <w:rsid w:val="00E51B43"/>
    <w:rsid w:val="00E51C64"/>
    <w:rsid w:val="00E51CFD"/>
    <w:rsid w:val="00E51EB1"/>
    <w:rsid w:val="00E51F63"/>
    <w:rsid w:val="00E5204A"/>
    <w:rsid w:val="00E52112"/>
    <w:rsid w:val="00E521FC"/>
    <w:rsid w:val="00E52268"/>
    <w:rsid w:val="00E523FE"/>
    <w:rsid w:val="00E524F4"/>
    <w:rsid w:val="00E5250F"/>
    <w:rsid w:val="00E525B7"/>
    <w:rsid w:val="00E527C1"/>
    <w:rsid w:val="00E52839"/>
    <w:rsid w:val="00E52C03"/>
    <w:rsid w:val="00E52DA9"/>
    <w:rsid w:val="00E52DB5"/>
    <w:rsid w:val="00E52ED0"/>
    <w:rsid w:val="00E53043"/>
    <w:rsid w:val="00E5310B"/>
    <w:rsid w:val="00E53337"/>
    <w:rsid w:val="00E534D9"/>
    <w:rsid w:val="00E53555"/>
    <w:rsid w:val="00E5361B"/>
    <w:rsid w:val="00E5361D"/>
    <w:rsid w:val="00E53A55"/>
    <w:rsid w:val="00E53B71"/>
    <w:rsid w:val="00E53B96"/>
    <w:rsid w:val="00E53BCA"/>
    <w:rsid w:val="00E53BF3"/>
    <w:rsid w:val="00E53DA9"/>
    <w:rsid w:val="00E540DA"/>
    <w:rsid w:val="00E5413C"/>
    <w:rsid w:val="00E544F9"/>
    <w:rsid w:val="00E54649"/>
    <w:rsid w:val="00E5472A"/>
    <w:rsid w:val="00E54824"/>
    <w:rsid w:val="00E549FB"/>
    <w:rsid w:val="00E54AA5"/>
    <w:rsid w:val="00E54AAE"/>
    <w:rsid w:val="00E54AEA"/>
    <w:rsid w:val="00E55327"/>
    <w:rsid w:val="00E5545E"/>
    <w:rsid w:val="00E555CF"/>
    <w:rsid w:val="00E55716"/>
    <w:rsid w:val="00E55797"/>
    <w:rsid w:val="00E558D2"/>
    <w:rsid w:val="00E558EB"/>
    <w:rsid w:val="00E558F7"/>
    <w:rsid w:val="00E55988"/>
    <w:rsid w:val="00E55A0A"/>
    <w:rsid w:val="00E55B2A"/>
    <w:rsid w:val="00E55B94"/>
    <w:rsid w:val="00E55CCD"/>
    <w:rsid w:val="00E55D49"/>
    <w:rsid w:val="00E55E6F"/>
    <w:rsid w:val="00E55EA1"/>
    <w:rsid w:val="00E56089"/>
    <w:rsid w:val="00E5624F"/>
    <w:rsid w:val="00E56351"/>
    <w:rsid w:val="00E56424"/>
    <w:rsid w:val="00E56486"/>
    <w:rsid w:val="00E564C0"/>
    <w:rsid w:val="00E56690"/>
    <w:rsid w:val="00E566AB"/>
    <w:rsid w:val="00E566AF"/>
    <w:rsid w:val="00E567F6"/>
    <w:rsid w:val="00E56AF6"/>
    <w:rsid w:val="00E56EA2"/>
    <w:rsid w:val="00E56ECE"/>
    <w:rsid w:val="00E56FAE"/>
    <w:rsid w:val="00E56FEE"/>
    <w:rsid w:val="00E57068"/>
    <w:rsid w:val="00E57138"/>
    <w:rsid w:val="00E571D0"/>
    <w:rsid w:val="00E572D3"/>
    <w:rsid w:val="00E57357"/>
    <w:rsid w:val="00E5757A"/>
    <w:rsid w:val="00E575FF"/>
    <w:rsid w:val="00E57800"/>
    <w:rsid w:val="00E57947"/>
    <w:rsid w:val="00E57980"/>
    <w:rsid w:val="00E5798D"/>
    <w:rsid w:val="00E579C4"/>
    <w:rsid w:val="00E57AB7"/>
    <w:rsid w:val="00E57B1B"/>
    <w:rsid w:val="00E57D49"/>
    <w:rsid w:val="00E57DD7"/>
    <w:rsid w:val="00E57F78"/>
    <w:rsid w:val="00E57F81"/>
    <w:rsid w:val="00E601DB"/>
    <w:rsid w:val="00E601DF"/>
    <w:rsid w:val="00E6032D"/>
    <w:rsid w:val="00E603F6"/>
    <w:rsid w:val="00E607E4"/>
    <w:rsid w:val="00E6082F"/>
    <w:rsid w:val="00E6084C"/>
    <w:rsid w:val="00E608C8"/>
    <w:rsid w:val="00E609B6"/>
    <w:rsid w:val="00E60A30"/>
    <w:rsid w:val="00E60A6F"/>
    <w:rsid w:val="00E60ACC"/>
    <w:rsid w:val="00E60B4B"/>
    <w:rsid w:val="00E60C6D"/>
    <w:rsid w:val="00E60C8E"/>
    <w:rsid w:val="00E60CBC"/>
    <w:rsid w:val="00E60F8C"/>
    <w:rsid w:val="00E610D9"/>
    <w:rsid w:val="00E611F5"/>
    <w:rsid w:val="00E612A0"/>
    <w:rsid w:val="00E61407"/>
    <w:rsid w:val="00E61518"/>
    <w:rsid w:val="00E6152A"/>
    <w:rsid w:val="00E615AB"/>
    <w:rsid w:val="00E6167C"/>
    <w:rsid w:val="00E617A8"/>
    <w:rsid w:val="00E617B1"/>
    <w:rsid w:val="00E61AF7"/>
    <w:rsid w:val="00E61BC7"/>
    <w:rsid w:val="00E61C5D"/>
    <w:rsid w:val="00E61C97"/>
    <w:rsid w:val="00E62102"/>
    <w:rsid w:val="00E621A8"/>
    <w:rsid w:val="00E62264"/>
    <w:rsid w:val="00E62267"/>
    <w:rsid w:val="00E62311"/>
    <w:rsid w:val="00E6263A"/>
    <w:rsid w:val="00E62655"/>
    <w:rsid w:val="00E6265F"/>
    <w:rsid w:val="00E62739"/>
    <w:rsid w:val="00E62824"/>
    <w:rsid w:val="00E62842"/>
    <w:rsid w:val="00E6298B"/>
    <w:rsid w:val="00E62B7E"/>
    <w:rsid w:val="00E62BB7"/>
    <w:rsid w:val="00E62EEE"/>
    <w:rsid w:val="00E62F33"/>
    <w:rsid w:val="00E62F85"/>
    <w:rsid w:val="00E630DD"/>
    <w:rsid w:val="00E632BF"/>
    <w:rsid w:val="00E633D9"/>
    <w:rsid w:val="00E63409"/>
    <w:rsid w:val="00E6343F"/>
    <w:rsid w:val="00E6344A"/>
    <w:rsid w:val="00E635C2"/>
    <w:rsid w:val="00E6395C"/>
    <w:rsid w:val="00E63E22"/>
    <w:rsid w:val="00E63E32"/>
    <w:rsid w:val="00E63FC2"/>
    <w:rsid w:val="00E640B7"/>
    <w:rsid w:val="00E640BE"/>
    <w:rsid w:val="00E642C9"/>
    <w:rsid w:val="00E643B4"/>
    <w:rsid w:val="00E643E9"/>
    <w:rsid w:val="00E6443C"/>
    <w:rsid w:val="00E64452"/>
    <w:rsid w:val="00E64500"/>
    <w:rsid w:val="00E64787"/>
    <w:rsid w:val="00E647F6"/>
    <w:rsid w:val="00E6492E"/>
    <w:rsid w:val="00E64AA1"/>
    <w:rsid w:val="00E64ACE"/>
    <w:rsid w:val="00E64B0E"/>
    <w:rsid w:val="00E64B3D"/>
    <w:rsid w:val="00E64CEC"/>
    <w:rsid w:val="00E64D26"/>
    <w:rsid w:val="00E64D9A"/>
    <w:rsid w:val="00E64E7D"/>
    <w:rsid w:val="00E64EDF"/>
    <w:rsid w:val="00E64FF5"/>
    <w:rsid w:val="00E6509D"/>
    <w:rsid w:val="00E651E4"/>
    <w:rsid w:val="00E65207"/>
    <w:rsid w:val="00E65522"/>
    <w:rsid w:val="00E656D1"/>
    <w:rsid w:val="00E656D3"/>
    <w:rsid w:val="00E6581B"/>
    <w:rsid w:val="00E6587D"/>
    <w:rsid w:val="00E658D8"/>
    <w:rsid w:val="00E65914"/>
    <w:rsid w:val="00E659B9"/>
    <w:rsid w:val="00E65A8C"/>
    <w:rsid w:val="00E65B66"/>
    <w:rsid w:val="00E65BEE"/>
    <w:rsid w:val="00E65CD5"/>
    <w:rsid w:val="00E65D50"/>
    <w:rsid w:val="00E65D92"/>
    <w:rsid w:val="00E660E7"/>
    <w:rsid w:val="00E661E6"/>
    <w:rsid w:val="00E66224"/>
    <w:rsid w:val="00E66275"/>
    <w:rsid w:val="00E66299"/>
    <w:rsid w:val="00E66331"/>
    <w:rsid w:val="00E66581"/>
    <w:rsid w:val="00E6675E"/>
    <w:rsid w:val="00E6692F"/>
    <w:rsid w:val="00E66AA8"/>
    <w:rsid w:val="00E66B2F"/>
    <w:rsid w:val="00E66BE1"/>
    <w:rsid w:val="00E66C5F"/>
    <w:rsid w:val="00E66E31"/>
    <w:rsid w:val="00E66F1D"/>
    <w:rsid w:val="00E67120"/>
    <w:rsid w:val="00E67190"/>
    <w:rsid w:val="00E671ED"/>
    <w:rsid w:val="00E6742D"/>
    <w:rsid w:val="00E67589"/>
    <w:rsid w:val="00E67765"/>
    <w:rsid w:val="00E677D9"/>
    <w:rsid w:val="00E67874"/>
    <w:rsid w:val="00E6790D"/>
    <w:rsid w:val="00E679AA"/>
    <w:rsid w:val="00E67A10"/>
    <w:rsid w:val="00E67CC6"/>
    <w:rsid w:val="00E7002B"/>
    <w:rsid w:val="00E70069"/>
    <w:rsid w:val="00E70199"/>
    <w:rsid w:val="00E701FD"/>
    <w:rsid w:val="00E7027E"/>
    <w:rsid w:val="00E703B9"/>
    <w:rsid w:val="00E704B9"/>
    <w:rsid w:val="00E706B2"/>
    <w:rsid w:val="00E708C0"/>
    <w:rsid w:val="00E70950"/>
    <w:rsid w:val="00E70B2A"/>
    <w:rsid w:val="00E70BD9"/>
    <w:rsid w:val="00E70BEF"/>
    <w:rsid w:val="00E70D32"/>
    <w:rsid w:val="00E70EDF"/>
    <w:rsid w:val="00E70FE7"/>
    <w:rsid w:val="00E712F2"/>
    <w:rsid w:val="00E7131A"/>
    <w:rsid w:val="00E7134D"/>
    <w:rsid w:val="00E713F7"/>
    <w:rsid w:val="00E71704"/>
    <w:rsid w:val="00E7172C"/>
    <w:rsid w:val="00E717D6"/>
    <w:rsid w:val="00E71860"/>
    <w:rsid w:val="00E71889"/>
    <w:rsid w:val="00E718D2"/>
    <w:rsid w:val="00E7193E"/>
    <w:rsid w:val="00E7196C"/>
    <w:rsid w:val="00E719D2"/>
    <w:rsid w:val="00E719FA"/>
    <w:rsid w:val="00E71A82"/>
    <w:rsid w:val="00E71BD0"/>
    <w:rsid w:val="00E71C19"/>
    <w:rsid w:val="00E71C1B"/>
    <w:rsid w:val="00E71D73"/>
    <w:rsid w:val="00E71D7B"/>
    <w:rsid w:val="00E71EEC"/>
    <w:rsid w:val="00E71EFD"/>
    <w:rsid w:val="00E720E9"/>
    <w:rsid w:val="00E7228F"/>
    <w:rsid w:val="00E72358"/>
    <w:rsid w:val="00E723CF"/>
    <w:rsid w:val="00E7241F"/>
    <w:rsid w:val="00E72443"/>
    <w:rsid w:val="00E724A1"/>
    <w:rsid w:val="00E724A4"/>
    <w:rsid w:val="00E724BF"/>
    <w:rsid w:val="00E72537"/>
    <w:rsid w:val="00E72667"/>
    <w:rsid w:val="00E72712"/>
    <w:rsid w:val="00E72749"/>
    <w:rsid w:val="00E729EC"/>
    <w:rsid w:val="00E72C52"/>
    <w:rsid w:val="00E72DF6"/>
    <w:rsid w:val="00E72F12"/>
    <w:rsid w:val="00E72F1D"/>
    <w:rsid w:val="00E73239"/>
    <w:rsid w:val="00E7338B"/>
    <w:rsid w:val="00E734A6"/>
    <w:rsid w:val="00E735A6"/>
    <w:rsid w:val="00E73634"/>
    <w:rsid w:val="00E7364D"/>
    <w:rsid w:val="00E73831"/>
    <w:rsid w:val="00E738A2"/>
    <w:rsid w:val="00E7390A"/>
    <w:rsid w:val="00E7396E"/>
    <w:rsid w:val="00E739FD"/>
    <w:rsid w:val="00E73AD8"/>
    <w:rsid w:val="00E73BCC"/>
    <w:rsid w:val="00E73DCB"/>
    <w:rsid w:val="00E73DD9"/>
    <w:rsid w:val="00E74049"/>
    <w:rsid w:val="00E740F4"/>
    <w:rsid w:val="00E74379"/>
    <w:rsid w:val="00E7443B"/>
    <w:rsid w:val="00E74602"/>
    <w:rsid w:val="00E74755"/>
    <w:rsid w:val="00E7477C"/>
    <w:rsid w:val="00E74800"/>
    <w:rsid w:val="00E748CF"/>
    <w:rsid w:val="00E7491A"/>
    <w:rsid w:val="00E74931"/>
    <w:rsid w:val="00E74B30"/>
    <w:rsid w:val="00E74BEB"/>
    <w:rsid w:val="00E74CC9"/>
    <w:rsid w:val="00E74D6B"/>
    <w:rsid w:val="00E74E9E"/>
    <w:rsid w:val="00E74F69"/>
    <w:rsid w:val="00E74FA6"/>
    <w:rsid w:val="00E74FDD"/>
    <w:rsid w:val="00E750C7"/>
    <w:rsid w:val="00E7514C"/>
    <w:rsid w:val="00E751B7"/>
    <w:rsid w:val="00E752D8"/>
    <w:rsid w:val="00E75333"/>
    <w:rsid w:val="00E754B7"/>
    <w:rsid w:val="00E7550B"/>
    <w:rsid w:val="00E755F8"/>
    <w:rsid w:val="00E756EE"/>
    <w:rsid w:val="00E757B1"/>
    <w:rsid w:val="00E7585A"/>
    <w:rsid w:val="00E75871"/>
    <w:rsid w:val="00E758D7"/>
    <w:rsid w:val="00E759EC"/>
    <w:rsid w:val="00E75A57"/>
    <w:rsid w:val="00E75B4B"/>
    <w:rsid w:val="00E75D41"/>
    <w:rsid w:val="00E75D5D"/>
    <w:rsid w:val="00E75DC5"/>
    <w:rsid w:val="00E75DC8"/>
    <w:rsid w:val="00E75E7B"/>
    <w:rsid w:val="00E7601C"/>
    <w:rsid w:val="00E7627A"/>
    <w:rsid w:val="00E76391"/>
    <w:rsid w:val="00E76463"/>
    <w:rsid w:val="00E7652B"/>
    <w:rsid w:val="00E76572"/>
    <w:rsid w:val="00E7659C"/>
    <w:rsid w:val="00E76645"/>
    <w:rsid w:val="00E7667C"/>
    <w:rsid w:val="00E766D5"/>
    <w:rsid w:val="00E76829"/>
    <w:rsid w:val="00E76A34"/>
    <w:rsid w:val="00E76B3C"/>
    <w:rsid w:val="00E76B9B"/>
    <w:rsid w:val="00E76BA4"/>
    <w:rsid w:val="00E76BF5"/>
    <w:rsid w:val="00E77046"/>
    <w:rsid w:val="00E77404"/>
    <w:rsid w:val="00E774A2"/>
    <w:rsid w:val="00E774A8"/>
    <w:rsid w:val="00E775E6"/>
    <w:rsid w:val="00E778BE"/>
    <w:rsid w:val="00E77924"/>
    <w:rsid w:val="00E779C3"/>
    <w:rsid w:val="00E80105"/>
    <w:rsid w:val="00E801E6"/>
    <w:rsid w:val="00E80272"/>
    <w:rsid w:val="00E8051F"/>
    <w:rsid w:val="00E80532"/>
    <w:rsid w:val="00E8068F"/>
    <w:rsid w:val="00E807DE"/>
    <w:rsid w:val="00E8083B"/>
    <w:rsid w:val="00E808C2"/>
    <w:rsid w:val="00E808D0"/>
    <w:rsid w:val="00E80923"/>
    <w:rsid w:val="00E80A3C"/>
    <w:rsid w:val="00E80AC0"/>
    <w:rsid w:val="00E80B62"/>
    <w:rsid w:val="00E80BE2"/>
    <w:rsid w:val="00E80F94"/>
    <w:rsid w:val="00E80F9E"/>
    <w:rsid w:val="00E80FAE"/>
    <w:rsid w:val="00E81135"/>
    <w:rsid w:val="00E81282"/>
    <w:rsid w:val="00E8140A"/>
    <w:rsid w:val="00E81572"/>
    <w:rsid w:val="00E81576"/>
    <w:rsid w:val="00E8157D"/>
    <w:rsid w:val="00E816C8"/>
    <w:rsid w:val="00E81806"/>
    <w:rsid w:val="00E81853"/>
    <w:rsid w:val="00E81D33"/>
    <w:rsid w:val="00E81D5A"/>
    <w:rsid w:val="00E81DC6"/>
    <w:rsid w:val="00E81F8C"/>
    <w:rsid w:val="00E81FDF"/>
    <w:rsid w:val="00E8206B"/>
    <w:rsid w:val="00E820BA"/>
    <w:rsid w:val="00E82322"/>
    <w:rsid w:val="00E8273B"/>
    <w:rsid w:val="00E82927"/>
    <w:rsid w:val="00E8299A"/>
    <w:rsid w:val="00E82B7A"/>
    <w:rsid w:val="00E82BEB"/>
    <w:rsid w:val="00E82C8D"/>
    <w:rsid w:val="00E82D6E"/>
    <w:rsid w:val="00E82D9A"/>
    <w:rsid w:val="00E82DFC"/>
    <w:rsid w:val="00E82E59"/>
    <w:rsid w:val="00E82F79"/>
    <w:rsid w:val="00E8306E"/>
    <w:rsid w:val="00E83090"/>
    <w:rsid w:val="00E8316E"/>
    <w:rsid w:val="00E83339"/>
    <w:rsid w:val="00E83447"/>
    <w:rsid w:val="00E8366C"/>
    <w:rsid w:val="00E836CA"/>
    <w:rsid w:val="00E837E6"/>
    <w:rsid w:val="00E8388E"/>
    <w:rsid w:val="00E838F7"/>
    <w:rsid w:val="00E83927"/>
    <w:rsid w:val="00E839FD"/>
    <w:rsid w:val="00E83ACB"/>
    <w:rsid w:val="00E83BFD"/>
    <w:rsid w:val="00E83CD8"/>
    <w:rsid w:val="00E83FE5"/>
    <w:rsid w:val="00E8424E"/>
    <w:rsid w:val="00E84370"/>
    <w:rsid w:val="00E844D1"/>
    <w:rsid w:val="00E84558"/>
    <w:rsid w:val="00E846CE"/>
    <w:rsid w:val="00E84796"/>
    <w:rsid w:val="00E847E9"/>
    <w:rsid w:val="00E848D5"/>
    <w:rsid w:val="00E84961"/>
    <w:rsid w:val="00E849C7"/>
    <w:rsid w:val="00E84A72"/>
    <w:rsid w:val="00E84B13"/>
    <w:rsid w:val="00E84BBB"/>
    <w:rsid w:val="00E84BDC"/>
    <w:rsid w:val="00E84C4A"/>
    <w:rsid w:val="00E84C67"/>
    <w:rsid w:val="00E84E86"/>
    <w:rsid w:val="00E84EA8"/>
    <w:rsid w:val="00E84F01"/>
    <w:rsid w:val="00E85094"/>
    <w:rsid w:val="00E85305"/>
    <w:rsid w:val="00E85313"/>
    <w:rsid w:val="00E85346"/>
    <w:rsid w:val="00E853AC"/>
    <w:rsid w:val="00E853E6"/>
    <w:rsid w:val="00E8545D"/>
    <w:rsid w:val="00E85A8C"/>
    <w:rsid w:val="00E85D69"/>
    <w:rsid w:val="00E85E9A"/>
    <w:rsid w:val="00E85FC0"/>
    <w:rsid w:val="00E85FEE"/>
    <w:rsid w:val="00E860A2"/>
    <w:rsid w:val="00E86157"/>
    <w:rsid w:val="00E861CC"/>
    <w:rsid w:val="00E86202"/>
    <w:rsid w:val="00E864BA"/>
    <w:rsid w:val="00E86555"/>
    <w:rsid w:val="00E86842"/>
    <w:rsid w:val="00E868E5"/>
    <w:rsid w:val="00E86BA9"/>
    <w:rsid w:val="00E872DB"/>
    <w:rsid w:val="00E874E0"/>
    <w:rsid w:val="00E8757E"/>
    <w:rsid w:val="00E87663"/>
    <w:rsid w:val="00E87667"/>
    <w:rsid w:val="00E87767"/>
    <w:rsid w:val="00E8777A"/>
    <w:rsid w:val="00E8777D"/>
    <w:rsid w:val="00E87B76"/>
    <w:rsid w:val="00E87F02"/>
    <w:rsid w:val="00E87F8F"/>
    <w:rsid w:val="00E90057"/>
    <w:rsid w:val="00E90079"/>
    <w:rsid w:val="00E9007B"/>
    <w:rsid w:val="00E90538"/>
    <w:rsid w:val="00E9065C"/>
    <w:rsid w:val="00E90829"/>
    <w:rsid w:val="00E908BB"/>
    <w:rsid w:val="00E9095F"/>
    <w:rsid w:val="00E90A62"/>
    <w:rsid w:val="00E90B04"/>
    <w:rsid w:val="00E90B27"/>
    <w:rsid w:val="00E90BF1"/>
    <w:rsid w:val="00E90CE0"/>
    <w:rsid w:val="00E90CF5"/>
    <w:rsid w:val="00E910C5"/>
    <w:rsid w:val="00E9111A"/>
    <w:rsid w:val="00E911D5"/>
    <w:rsid w:val="00E91277"/>
    <w:rsid w:val="00E913A1"/>
    <w:rsid w:val="00E914AB"/>
    <w:rsid w:val="00E91656"/>
    <w:rsid w:val="00E916AD"/>
    <w:rsid w:val="00E9171C"/>
    <w:rsid w:val="00E91855"/>
    <w:rsid w:val="00E9188A"/>
    <w:rsid w:val="00E91980"/>
    <w:rsid w:val="00E919B6"/>
    <w:rsid w:val="00E91A43"/>
    <w:rsid w:val="00E91A9C"/>
    <w:rsid w:val="00E91CB8"/>
    <w:rsid w:val="00E91E90"/>
    <w:rsid w:val="00E91E9E"/>
    <w:rsid w:val="00E91FF1"/>
    <w:rsid w:val="00E92282"/>
    <w:rsid w:val="00E9236F"/>
    <w:rsid w:val="00E923C8"/>
    <w:rsid w:val="00E924AB"/>
    <w:rsid w:val="00E927BC"/>
    <w:rsid w:val="00E92887"/>
    <w:rsid w:val="00E9291A"/>
    <w:rsid w:val="00E929B7"/>
    <w:rsid w:val="00E929D6"/>
    <w:rsid w:val="00E92D16"/>
    <w:rsid w:val="00E92DF0"/>
    <w:rsid w:val="00E92FC4"/>
    <w:rsid w:val="00E9301F"/>
    <w:rsid w:val="00E93521"/>
    <w:rsid w:val="00E936D7"/>
    <w:rsid w:val="00E93803"/>
    <w:rsid w:val="00E93836"/>
    <w:rsid w:val="00E9383F"/>
    <w:rsid w:val="00E93890"/>
    <w:rsid w:val="00E93A6C"/>
    <w:rsid w:val="00E93BDF"/>
    <w:rsid w:val="00E93E3E"/>
    <w:rsid w:val="00E93F7F"/>
    <w:rsid w:val="00E9413A"/>
    <w:rsid w:val="00E941FD"/>
    <w:rsid w:val="00E9429B"/>
    <w:rsid w:val="00E942AA"/>
    <w:rsid w:val="00E942C2"/>
    <w:rsid w:val="00E942F1"/>
    <w:rsid w:val="00E944FF"/>
    <w:rsid w:val="00E94811"/>
    <w:rsid w:val="00E9482A"/>
    <w:rsid w:val="00E948C9"/>
    <w:rsid w:val="00E949C6"/>
    <w:rsid w:val="00E94A72"/>
    <w:rsid w:val="00E94A8C"/>
    <w:rsid w:val="00E94A94"/>
    <w:rsid w:val="00E94AE3"/>
    <w:rsid w:val="00E94B67"/>
    <w:rsid w:val="00E94B8B"/>
    <w:rsid w:val="00E94C9F"/>
    <w:rsid w:val="00E94DC5"/>
    <w:rsid w:val="00E94F72"/>
    <w:rsid w:val="00E95021"/>
    <w:rsid w:val="00E95159"/>
    <w:rsid w:val="00E95344"/>
    <w:rsid w:val="00E953CC"/>
    <w:rsid w:val="00E9549E"/>
    <w:rsid w:val="00E954D3"/>
    <w:rsid w:val="00E955C2"/>
    <w:rsid w:val="00E956AB"/>
    <w:rsid w:val="00E956E7"/>
    <w:rsid w:val="00E9578D"/>
    <w:rsid w:val="00E958A8"/>
    <w:rsid w:val="00E95915"/>
    <w:rsid w:val="00E95967"/>
    <w:rsid w:val="00E95A46"/>
    <w:rsid w:val="00E95AEF"/>
    <w:rsid w:val="00E95B93"/>
    <w:rsid w:val="00E95C38"/>
    <w:rsid w:val="00E95C59"/>
    <w:rsid w:val="00E95CFB"/>
    <w:rsid w:val="00E95D75"/>
    <w:rsid w:val="00E95D7F"/>
    <w:rsid w:val="00E95EC1"/>
    <w:rsid w:val="00E96068"/>
    <w:rsid w:val="00E9608B"/>
    <w:rsid w:val="00E96112"/>
    <w:rsid w:val="00E965C3"/>
    <w:rsid w:val="00E966DC"/>
    <w:rsid w:val="00E967E0"/>
    <w:rsid w:val="00E9683D"/>
    <w:rsid w:val="00E96A77"/>
    <w:rsid w:val="00E96CCD"/>
    <w:rsid w:val="00E96D36"/>
    <w:rsid w:val="00E97261"/>
    <w:rsid w:val="00E9744E"/>
    <w:rsid w:val="00E974BE"/>
    <w:rsid w:val="00E97518"/>
    <w:rsid w:val="00E97546"/>
    <w:rsid w:val="00E97A50"/>
    <w:rsid w:val="00E97A7A"/>
    <w:rsid w:val="00E97B70"/>
    <w:rsid w:val="00E97BF0"/>
    <w:rsid w:val="00E97D5B"/>
    <w:rsid w:val="00EA0075"/>
    <w:rsid w:val="00EA01EA"/>
    <w:rsid w:val="00EA02AE"/>
    <w:rsid w:val="00EA0438"/>
    <w:rsid w:val="00EA04F3"/>
    <w:rsid w:val="00EA0511"/>
    <w:rsid w:val="00EA059B"/>
    <w:rsid w:val="00EA062B"/>
    <w:rsid w:val="00EA06DB"/>
    <w:rsid w:val="00EA0811"/>
    <w:rsid w:val="00EA0855"/>
    <w:rsid w:val="00EA08C1"/>
    <w:rsid w:val="00EA09BF"/>
    <w:rsid w:val="00EA09EB"/>
    <w:rsid w:val="00EA0A27"/>
    <w:rsid w:val="00EA0AC5"/>
    <w:rsid w:val="00EA0BD9"/>
    <w:rsid w:val="00EA0BFF"/>
    <w:rsid w:val="00EA0C23"/>
    <w:rsid w:val="00EA0CF2"/>
    <w:rsid w:val="00EA0D67"/>
    <w:rsid w:val="00EA0ED8"/>
    <w:rsid w:val="00EA10A4"/>
    <w:rsid w:val="00EA10F5"/>
    <w:rsid w:val="00EA114C"/>
    <w:rsid w:val="00EA1293"/>
    <w:rsid w:val="00EA12A3"/>
    <w:rsid w:val="00EA132D"/>
    <w:rsid w:val="00EA14B8"/>
    <w:rsid w:val="00EA14B9"/>
    <w:rsid w:val="00EA181E"/>
    <w:rsid w:val="00EA1901"/>
    <w:rsid w:val="00EA1A9E"/>
    <w:rsid w:val="00EA1ABF"/>
    <w:rsid w:val="00EA1B92"/>
    <w:rsid w:val="00EA1B9F"/>
    <w:rsid w:val="00EA1C28"/>
    <w:rsid w:val="00EA1CBB"/>
    <w:rsid w:val="00EA1D68"/>
    <w:rsid w:val="00EA1E45"/>
    <w:rsid w:val="00EA1E49"/>
    <w:rsid w:val="00EA1E98"/>
    <w:rsid w:val="00EA2043"/>
    <w:rsid w:val="00EA2264"/>
    <w:rsid w:val="00EA2577"/>
    <w:rsid w:val="00EA25E2"/>
    <w:rsid w:val="00EA272D"/>
    <w:rsid w:val="00EA2C14"/>
    <w:rsid w:val="00EA2C84"/>
    <w:rsid w:val="00EA2C9B"/>
    <w:rsid w:val="00EA2D15"/>
    <w:rsid w:val="00EA2D5F"/>
    <w:rsid w:val="00EA2DFF"/>
    <w:rsid w:val="00EA2EE8"/>
    <w:rsid w:val="00EA2FBC"/>
    <w:rsid w:val="00EA32A7"/>
    <w:rsid w:val="00EA351D"/>
    <w:rsid w:val="00EA35A1"/>
    <w:rsid w:val="00EA35D8"/>
    <w:rsid w:val="00EA37A2"/>
    <w:rsid w:val="00EA3871"/>
    <w:rsid w:val="00EA3A92"/>
    <w:rsid w:val="00EA3AA6"/>
    <w:rsid w:val="00EA3ACB"/>
    <w:rsid w:val="00EA3D24"/>
    <w:rsid w:val="00EA3E1F"/>
    <w:rsid w:val="00EA3E79"/>
    <w:rsid w:val="00EA3F4E"/>
    <w:rsid w:val="00EA4085"/>
    <w:rsid w:val="00EA4134"/>
    <w:rsid w:val="00EA430D"/>
    <w:rsid w:val="00EA4346"/>
    <w:rsid w:val="00EA4626"/>
    <w:rsid w:val="00EA462D"/>
    <w:rsid w:val="00EA4691"/>
    <w:rsid w:val="00EA476C"/>
    <w:rsid w:val="00EA4A47"/>
    <w:rsid w:val="00EA4A4C"/>
    <w:rsid w:val="00EA4A96"/>
    <w:rsid w:val="00EA4B3F"/>
    <w:rsid w:val="00EA4BED"/>
    <w:rsid w:val="00EA4CEC"/>
    <w:rsid w:val="00EA504B"/>
    <w:rsid w:val="00EA5081"/>
    <w:rsid w:val="00EA52CC"/>
    <w:rsid w:val="00EA532B"/>
    <w:rsid w:val="00EA5375"/>
    <w:rsid w:val="00EA558B"/>
    <w:rsid w:val="00EA55E2"/>
    <w:rsid w:val="00EA562B"/>
    <w:rsid w:val="00EA5701"/>
    <w:rsid w:val="00EA5744"/>
    <w:rsid w:val="00EA57B8"/>
    <w:rsid w:val="00EA5855"/>
    <w:rsid w:val="00EA59EB"/>
    <w:rsid w:val="00EA5AFC"/>
    <w:rsid w:val="00EA5C57"/>
    <w:rsid w:val="00EA5C6D"/>
    <w:rsid w:val="00EA5CDB"/>
    <w:rsid w:val="00EA5D44"/>
    <w:rsid w:val="00EA5D79"/>
    <w:rsid w:val="00EA5DA4"/>
    <w:rsid w:val="00EA5E03"/>
    <w:rsid w:val="00EA5F1B"/>
    <w:rsid w:val="00EA5F3C"/>
    <w:rsid w:val="00EA6061"/>
    <w:rsid w:val="00EA60F1"/>
    <w:rsid w:val="00EA61A3"/>
    <w:rsid w:val="00EA6223"/>
    <w:rsid w:val="00EA6407"/>
    <w:rsid w:val="00EA6420"/>
    <w:rsid w:val="00EA64C2"/>
    <w:rsid w:val="00EA655E"/>
    <w:rsid w:val="00EA65C6"/>
    <w:rsid w:val="00EA66C9"/>
    <w:rsid w:val="00EA67C8"/>
    <w:rsid w:val="00EA6951"/>
    <w:rsid w:val="00EA6971"/>
    <w:rsid w:val="00EA6A9F"/>
    <w:rsid w:val="00EA6CEC"/>
    <w:rsid w:val="00EA6DC9"/>
    <w:rsid w:val="00EA6FFA"/>
    <w:rsid w:val="00EA70C4"/>
    <w:rsid w:val="00EA71CB"/>
    <w:rsid w:val="00EA7314"/>
    <w:rsid w:val="00EA745B"/>
    <w:rsid w:val="00EA75C6"/>
    <w:rsid w:val="00EA75E3"/>
    <w:rsid w:val="00EA7AA5"/>
    <w:rsid w:val="00EA7AD6"/>
    <w:rsid w:val="00EA7CA9"/>
    <w:rsid w:val="00EA7E74"/>
    <w:rsid w:val="00EA7E82"/>
    <w:rsid w:val="00EA7EA9"/>
    <w:rsid w:val="00EA7F65"/>
    <w:rsid w:val="00EA7F83"/>
    <w:rsid w:val="00EA7FDB"/>
    <w:rsid w:val="00EB000C"/>
    <w:rsid w:val="00EB00AB"/>
    <w:rsid w:val="00EB01A7"/>
    <w:rsid w:val="00EB04A9"/>
    <w:rsid w:val="00EB04EF"/>
    <w:rsid w:val="00EB0563"/>
    <w:rsid w:val="00EB0656"/>
    <w:rsid w:val="00EB07D1"/>
    <w:rsid w:val="00EB0AB0"/>
    <w:rsid w:val="00EB0BB3"/>
    <w:rsid w:val="00EB0C40"/>
    <w:rsid w:val="00EB0C83"/>
    <w:rsid w:val="00EB0CA4"/>
    <w:rsid w:val="00EB0DB2"/>
    <w:rsid w:val="00EB0F2C"/>
    <w:rsid w:val="00EB0FA5"/>
    <w:rsid w:val="00EB0FC9"/>
    <w:rsid w:val="00EB1410"/>
    <w:rsid w:val="00EB14A8"/>
    <w:rsid w:val="00EB1672"/>
    <w:rsid w:val="00EB176E"/>
    <w:rsid w:val="00EB18CF"/>
    <w:rsid w:val="00EB1970"/>
    <w:rsid w:val="00EB1B19"/>
    <w:rsid w:val="00EB1B2B"/>
    <w:rsid w:val="00EB1D58"/>
    <w:rsid w:val="00EB1D6D"/>
    <w:rsid w:val="00EB1DDD"/>
    <w:rsid w:val="00EB1DF2"/>
    <w:rsid w:val="00EB1FAD"/>
    <w:rsid w:val="00EB2083"/>
    <w:rsid w:val="00EB2219"/>
    <w:rsid w:val="00EB229C"/>
    <w:rsid w:val="00EB23E2"/>
    <w:rsid w:val="00EB24A5"/>
    <w:rsid w:val="00EB24AA"/>
    <w:rsid w:val="00EB24B8"/>
    <w:rsid w:val="00EB253F"/>
    <w:rsid w:val="00EB270F"/>
    <w:rsid w:val="00EB27F8"/>
    <w:rsid w:val="00EB28DA"/>
    <w:rsid w:val="00EB29F9"/>
    <w:rsid w:val="00EB2B4F"/>
    <w:rsid w:val="00EB2BB6"/>
    <w:rsid w:val="00EB2C05"/>
    <w:rsid w:val="00EB2D6B"/>
    <w:rsid w:val="00EB2DC1"/>
    <w:rsid w:val="00EB2E41"/>
    <w:rsid w:val="00EB2E9D"/>
    <w:rsid w:val="00EB3068"/>
    <w:rsid w:val="00EB33DA"/>
    <w:rsid w:val="00EB3640"/>
    <w:rsid w:val="00EB38D2"/>
    <w:rsid w:val="00EB39A9"/>
    <w:rsid w:val="00EB3B2F"/>
    <w:rsid w:val="00EB3B96"/>
    <w:rsid w:val="00EB3C93"/>
    <w:rsid w:val="00EB3CF3"/>
    <w:rsid w:val="00EB3D95"/>
    <w:rsid w:val="00EB3D9F"/>
    <w:rsid w:val="00EB3DF8"/>
    <w:rsid w:val="00EB3F05"/>
    <w:rsid w:val="00EB3F8C"/>
    <w:rsid w:val="00EB4080"/>
    <w:rsid w:val="00EB40ED"/>
    <w:rsid w:val="00EB4244"/>
    <w:rsid w:val="00EB42BA"/>
    <w:rsid w:val="00EB42F1"/>
    <w:rsid w:val="00EB437A"/>
    <w:rsid w:val="00EB450B"/>
    <w:rsid w:val="00EB483B"/>
    <w:rsid w:val="00EB48BE"/>
    <w:rsid w:val="00EB49BD"/>
    <w:rsid w:val="00EB49EC"/>
    <w:rsid w:val="00EB4B6B"/>
    <w:rsid w:val="00EB4BBF"/>
    <w:rsid w:val="00EB4BC0"/>
    <w:rsid w:val="00EB4CA6"/>
    <w:rsid w:val="00EB4D4F"/>
    <w:rsid w:val="00EB5285"/>
    <w:rsid w:val="00EB5388"/>
    <w:rsid w:val="00EB5475"/>
    <w:rsid w:val="00EB561F"/>
    <w:rsid w:val="00EB5868"/>
    <w:rsid w:val="00EB5A2D"/>
    <w:rsid w:val="00EB5A3F"/>
    <w:rsid w:val="00EB5C56"/>
    <w:rsid w:val="00EB5EAE"/>
    <w:rsid w:val="00EB5F2E"/>
    <w:rsid w:val="00EB6041"/>
    <w:rsid w:val="00EB60A0"/>
    <w:rsid w:val="00EB640A"/>
    <w:rsid w:val="00EB6423"/>
    <w:rsid w:val="00EB642F"/>
    <w:rsid w:val="00EB653A"/>
    <w:rsid w:val="00EB65FA"/>
    <w:rsid w:val="00EB6646"/>
    <w:rsid w:val="00EB6785"/>
    <w:rsid w:val="00EB693F"/>
    <w:rsid w:val="00EB6A8D"/>
    <w:rsid w:val="00EB6ACB"/>
    <w:rsid w:val="00EB6C4C"/>
    <w:rsid w:val="00EB6CA6"/>
    <w:rsid w:val="00EB6E77"/>
    <w:rsid w:val="00EB7229"/>
    <w:rsid w:val="00EB7295"/>
    <w:rsid w:val="00EB739A"/>
    <w:rsid w:val="00EB7B76"/>
    <w:rsid w:val="00EB7C01"/>
    <w:rsid w:val="00EB7C68"/>
    <w:rsid w:val="00EB7DDA"/>
    <w:rsid w:val="00EB7E9D"/>
    <w:rsid w:val="00EB7FA0"/>
    <w:rsid w:val="00EC00E6"/>
    <w:rsid w:val="00EC0154"/>
    <w:rsid w:val="00EC03DA"/>
    <w:rsid w:val="00EC0B2C"/>
    <w:rsid w:val="00EC0CD5"/>
    <w:rsid w:val="00EC0D46"/>
    <w:rsid w:val="00EC0E46"/>
    <w:rsid w:val="00EC0F61"/>
    <w:rsid w:val="00EC0F8E"/>
    <w:rsid w:val="00EC1001"/>
    <w:rsid w:val="00EC1098"/>
    <w:rsid w:val="00EC10DC"/>
    <w:rsid w:val="00EC11A0"/>
    <w:rsid w:val="00EC1320"/>
    <w:rsid w:val="00EC1357"/>
    <w:rsid w:val="00EC1448"/>
    <w:rsid w:val="00EC1571"/>
    <w:rsid w:val="00EC161D"/>
    <w:rsid w:val="00EC16DF"/>
    <w:rsid w:val="00EC17FC"/>
    <w:rsid w:val="00EC1832"/>
    <w:rsid w:val="00EC1AF4"/>
    <w:rsid w:val="00EC1BD8"/>
    <w:rsid w:val="00EC1C22"/>
    <w:rsid w:val="00EC1D2A"/>
    <w:rsid w:val="00EC1E21"/>
    <w:rsid w:val="00EC20A3"/>
    <w:rsid w:val="00EC214A"/>
    <w:rsid w:val="00EC22B8"/>
    <w:rsid w:val="00EC236C"/>
    <w:rsid w:val="00EC2414"/>
    <w:rsid w:val="00EC275B"/>
    <w:rsid w:val="00EC2786"/>
    <w:rsid w:val="00EC28BD"/>
    <w:rsid w:val="00EC28D4"/>
    <w:rsid w:val="00EC2A55"/>
    <w:rsid w:val="00EC2A6B"/>
    <w:rsid w:val="00EC2AEC"/>
    <w:rsid w:val="00EC2B1B"/>
    <w:rsid w:val="00EC2B8B"/>
    <w:rsid w:val="00EC2D50"/>
    <w:rsid w:val="00EC2DBB"/>
    <w:rsid w:val="00EC2FE1"/>
    <w:rsid w:val="00EC3016"/>
    <w:rsid w:val="00EC3380"/>
    <w:rsid w:val="00EC3390"/>
    <w:rsid w:val="00EC36B7"/>
    <w:rsid w:val="00EC3835"/>
    <w:rsid w:val="00EC396A"/>
    <w:rsid w:val="00EC398E"/>
    <w:rsid w:val="00EC39AB"/>
    <w:rsid w:val="00EC3A5A"/>
    <w:rsid w:val="00EC3ACF"/>
    <w:rsid w:val="00EC3C5E"/>
    <w:rsid w:val="00EC3C7C"/>
    <w:rsid w:val="00EC3C7D"/>
    <w:rsid w:val="00EC3D75"/>
    <w:rsid w:val="00EC42D2"/>
    <w:rsid w:val="00EC43FC"/>
    <w:rsid w:val="00EC447A"/>
    <w:rsid w:val="00EC4626"/>
    <w:rsid w:val="00EC4654"/>
    <w:rsid w:val="00EC4665"/>
    <w:rsid w:val="00EC46A0"/>
    <w:rsid w:val="00EC4770"/>
    <w:rsid w:val="00EC47BA"/>
    <w:rsid w:val="00EC47F8"/>
    <w:rsid w:val="00EC4813"/>
    <w:rsid w:val="00EC48B1"/>
    <w:rsid w:val="00EC4918"/>
    <w:rsid w:val="00EC49F7"/>
    <w:rsid w:val="00EC4AF8"/>
    <w:rsid w:val="00EC4BA5"/>
    <w:rsid w:val="00EC4C6C"/>
    <w:rsid w:val="00EC4D2F"/>
    <w:rsid w:val="00EC4F68"/>
    <w:rsid w:val="00EC51A3"/>
    <w:rsid w:val="00EC5201"/>
    <w:rsid w:val="00EC5365"/>
    <w:rsid w:val="00EC53CE"/>
    <w:rsid w:val="00EC5420"/>
    <w:rsid w:val="00EC560B"/>
    <w:rsid w:val="00EC57BA"/>
    <w:rsid w:val="00EC592A"/>
    <w:rsid w:val="00EC5971"/>
    <w:rsid w:val="00EC5A08"/>
    <w:rsid w:val="00EC5BBA"/>
    <w:rsid w:val="00EC5BD5"/>
    <w:rsid w:val="00EC5D60"/>
    <w:rsid w:val="00EC6069"/>
    <w:rsid w:val="00EC60EF"/>
    <w:rsid w:val="00EC6219"/>
    <w:rsid w:val="00EC630C"/>
    <w:rsid w:val="00EC6372"/>
    <w:rsid w:val="00EC6407"/>
    <w:rsid w:val="00EC64A6"/>
    <w:rsid w:val="00EC6525"/>
    <w:rsid w:val="00EC6578"/>
    <w:rsid w:val="00EC66ED"/>
    <w:rsid w:val="00EC6A60"/>
    <w:rsid w:val="00EC6B0C"/>
    <w:rsid w:val="00EC6B3D"/>
    <w:rsid w:val="00EC6D9F"/>
    <w:rsid w:val="00EC6E7E"/>
    <w:rsid w:val="00EC6FB4"/>
    <w:rsid w:val="00EC7101"/>
    <w:rsid w:val="00EC723C"/>
    <w:rsid w:val="00EC72AF"/>
    <w:rsid w:val="00EC7303"/>
    <w:rsid w:val="00EC782C"/>
    <w:rsid w:val="00EC7838"/>
    <w:rsid w:val="00EC78CF"/>
    <w:rsid w:val="00EC79CC"/>
    <w:rsid w:val="00EC7A59"/>
    <w:rsid w:val="00EC7AE7"/>
    <w:rsid w:val="00EC7B79"/>
    <w:rsid w:val="00EC7BCB"/>
    <w:rsid w:val="00EC7EA4"/>
    <w:rsid w:val="00EC7EC2"/>
    <w:rsid w:val="00EC7F7D"/>
    <w:rsid w:val="00ED004A"/>
    <w:rsid w:val="00ED0187"/>
    <w:rsid w:val="00ED0210"/>
    <w:rsid w:val="00ED0239"/>
    <w:rsid w:val="00ED02D8"/>
    <w:rsid w:val="00ED03E4"/>
    <w:rsid w:val="00ED03EA"/>
    <w:rsid w:val="00ED05DC"/>
    <w:rsid w:val="00ED066F"/>
    <w:rsid w:val="00ED08EE"/>
    <w:rsid w:val="00ED0961"/>
    <w:rsid w:val="00ED09ED"/>
    <w:rsid w:val="00ED0A67"/>
    <w:rsid w:val="00ED0BB0"/>
    <w:rsid w:val="00ED0C33"/>
    <w:rsid w:val="00ED0C9F"/>
    <w:rsid w:val="00ED0E6E"/>
    <w:rsid w:val="00ED0EA4"/>
    <w:rsid w:val="00ED0EB6"/>
    <w:rsid w:val="00ED0F47"/>
    <w:rsid w:val="00ED119D"/>
    <w:rsid w:val="00ED11C5"/>
    <w:rsid w:val="00ED12EE"/>
    <w:rsid w:val="00ED1355"/>
    <w:rsid w:val="00ED1417"/>
    <w:rsid w:val="00ED1487"/>
    <w:rsid w:val="00ED149B"/>
    <w:rsid w:val="00ED14DA"/>
    <w:rsid w:val="00ED15B9"/>
    <w:rsid w:val="00ED1603"/>
    <w:rsid w:val="00ED18AD"/>
    <w:rsid w:val="00ED18BF"/>
    <w:rsid w:val="00ED19F4"/>
    <w:rsid w:val="00ED1A9F"/>
    <w:rsid w:val="00ED1C00"/>
    <w:rsid w:val="00ED1C3E"/>
    <w:rsid w:val="00ED1D05"/>
    <w:rsid w:val="00ED1D4E"/>
    <w:rsid w:val="00ED1EB4"/>
    <w:rsid w:val="00ED1EED"/>
    <w:rsid w:val="00ED1F58"/>
    <w:rsid w:val="00ED1F5F"/>
    <w:rsid w:val="00ED21DB"/>
    <w:rsid w:val="00ED230A"/>
    <w:rsid w:val="00ED24B2"/>
    <w:rsid w:val="00ED24CA"/>
    <w:rsid w:val="00ED25F4"/>
    <w:rsid w:val="00ED265C"/>
    <w:rsid w:val="00ED2779"/>
    <w:rsid w:val="00ED27EB"/>
    <w:rsid w:val="00ED27F8"/>
    <w:rsid w:val="00ED2811"/>
    <w:rsid w:val="00ED281A"/>
    <w:rsid w:val="00ED2975"/>
    <w:rsid w:val="00ED2A45"/>
    <w:rsid w:val="00ED2ACA"/>
    <w:rsid w:val="00ED2CC7"/>
    <w:rsid w:val="00ED2E25"/>
    <w:rsid w:val="00ED2E3B"/>
    <w:rsid w:val="00ED2EC5"/>
    <w:rsid w:val="00ED30FD"/>
    <w:rsid w:val="00ED31CF"/>
    <w:rsid w:val="00ED32AD"/>
    <w:rsid w:val="00ED33E7"/>
    <w:rsid w:val="00ED3432"/>
    <w:rsid w:val="00ED34BE"/>
    <w:rsid w:val="00ED3659"/>
    <w:rsid w:val="00ED3998"/>
    <w:rsid w:val="00ED3A90"/>
    <w:rsid w:val="00ED3ABD"/>
    <w:rsid w:val="00ED3C4E"/>
    <w:rsid w:val="00ED3E71"/>
    <w:rsid w:val="00ED3F05"/>
    <w:rsid w:val="00ED3F89"/>
    <w:rsid w:val="00ED40F7"/>
    <w:rsid w:val="00ED4248"/>
    <w:rsid w:val="00ED428D"/>
    <w:rsid w:val="00ED438D"/>
    <w:rsid w:val="00ED45E7"/>
    <w:rsid w:val="00ED45EA"/>
    <w:rsid w:val="00ED4649"/>
    <w:rsid w:val="00ED46E2"/>
    <w:rsid w:val="00ED488D"/>
    <w:rsid w:val="00ED48C7"/>
    <w:rsid w:val="00ED48F0"/>
    <w:rsid w:val="00ED4958"/>
    <w:rsid w:val="00ED4AC1"/>
    <w:rsid w:val="00ED4CAC"/>
    <w:rsid w:val="00ED4CCB"/>
    <w:rsid w:val="00ED4F35"/>
    <w:rsid w:val="00ED4F82"/>
    <w:rsid w:val="00ED50BF"/>
    <w:rsid w:val="00ED5179"/>
    <w:rsid w:val="00ED51CA"/>
    <w:rsid w:val="00ED52B7"/>
    <w:rsid w:val="00ED54F2"/>
    <w:rsid w:val="00ED550E"/>
    <w:rsid w:val="00ED5687"/>
    <w:rsid w:val="00ED56AB"/>
    <w:rsid w:val="00ED5794"/>
    <w:rsid w:val="00ED58B0"/>
    <w:rsid w:val="00ED58BB"/>
    <w:rsid w:val="00ED59CD"/>
    <w:rsid w:val="00ED5A54"/>
    <w:rsid w:val="00ED5D35"/>
    <w:rsid w:val="00ED5D3A"/>
    <w:rsid w:val="00ED6154"/>
    <w:rsid w:val="00ED61DF"/>
    <w:rsid w:val="00ED640C"/>
    <w:rsid w:val="00ED641C"/>
    <w:rsid w:val="00ED65D2"/>
    <w:rsid w:val="00ED66FB"/>
    <w:rsid w:val="00ED6A0E"/>
    <w:rsid w:val="00ED6B9A"/>
    <w:rsid w:val="00ED6DDE"/>
    <w:rsid w:val="00ED6E41"/>
    <w:rsid w:val="00ED6FE5"/>
    <w:rsid w:val="00ED70A5"/>
    <w:rsid w:val="00ED70B1"/>
    <w:rsid w:val="00ED70E3"/>
    <w:rsid w:val="00ED716A"/>
    <w:rsid w:val="00ED71D4"/>
    <w:rsid w:val="00ED7293"/>
    <w:rsid w:val="00ED730B"/>
    <w:rsid w:val="00ED741B"/>
    <w:rsid w:val="00ED7573"/>
    <w:rsid w:val="00ED765F"/>
    <w:rsid w:val="00ED76A6"/>
    <w:rsid w:val="00ED7713"/>
    <w:rsid w:val="00ED77EB"/>
    <w:rsid w:val="00ED7B62"/>
    <w:rsid w:val="00ED7BA8"/>
    <w:rsid w:val="00ED7BBF"/>
    <w:rsid w:val="00ED7BFC"/>
    <w:rsid w:val="00ED7E29"/>
    <w:rsid w:val="00ED7E75"/>
    <w:rsid w:val="00ED7FAE"/>
    <w:rsid w:val="00EE004D"/>
    <w:rsid w:val="00EE00CC"/>
    <w:rsid w:val="00EE044C"/>
    <w:rsid w:val="00EE079E"/>
    <w:rsid w:val="00EE08FB"/>
    <w:rsid w:val="00EE0987"/>
    <w:rsid w:val="00EE0ACD"/>
    <w:rsid w:val="00EE0AFD"/>
    <w:rsid w:val="00EE0B23"/>
    <w:rsid w:val="00EE0B51"/>
    <w:rsid w:val="00EE0FC9"/>
    <w:rsid w:val="00EE10BA"/>
    <w:rsid w:val="00EE10D1"/>
    <w:rsid w:val="00EE1258"/>
    <w:rsid w:val="00EE14D9"/>
    <w:rsid w:val="00EE157E"/>
    <w:rsid w:val="00EE158E"/>
    <w:rsid w:val="00EE178E"/>
    <w:rsid w:val="00EE17C6"/>
    <w:rsid w:val="00EE180B"/>
    <w:rsid w:val="00EE18D7"/>
    <w:rsid w:val="00EE190E"/>
    <w:rsid w:val="00EE1AF5"/>
    <w:rsid w:val="00EE1AFE"/>
    <w:rsid w:val="00EE1C35"/>
    <w:rsid w:val="00EE1D82"/>
    <w:rsid w:val="00EE1DC5"/>
    <w:rsid w:val="00EE1E6D"/>
    <w:rsid w:val="00EE1E96"/>
    <w:rsid w:val="00EE204F"/>
    <w:rsid w:val="00EE21C0"/>
    <w:rsid w:val="00EE2202"/>
    <w:rsid w:val="00EE2275"/>
    <w:rsid w:val="00EE2289"/>
    <w:rsid w:val="00EE23CE"/>
    <w:rsid w:val="00EE2433"/>
    <w:rsid w:val="00EE25B6"/>
    <w:rsid w:val="00EE27B9"/>
    <w:rsid w:val="00EE2A63"/>
    <w:rsid w:val="00EE2B14"/>
    <w:rsid w:val="00EE2D75"/>
    <w:rsid w:val="00EE2F6F"/>
    <w:rsid w:val="00EE30D3"/>
    <w:rsid w:val="00EE314D"/>
    <w:rsid w:val="00EE32C1"/>
    <w:rsid w:val="00EE32C3"/>
    <w:rsid w:val="00EE346C"/>
    <w:rsid w:val="00EE34C4"/>
    <w:rsid w:val="00EE370C"/>
    <w:rsid w:val="00EE3711"/>
    <w:rsid w:val="00EE3755"/>
    <w:rsid w:val="00EE37E9"/>
    <w:rsid w:val="00EE3816"/>
    <w:rsid w:val="00EE387C"/>
    <w:rsid w:val="00EE3951"/>
    <w:rsid w:val="00EE3A6F"/>
    <w:rsid w:val="00EE3A7C"/>
    <w:rsid w:val="00EE3B04"/>
    <w:rsid w:val="00EE3C32"/>
    <w:rsid w:val="00EE3DF1"/>
    <w:rsid w:val="00EE3E45"/>
    <w:rsid w:val="00EE4062"/>
    <w:rsid w:val="00EE40A8"/>
    <w:rsid w:val="00EE4108"/>
    <w:rsid w:val="00EE4159"/>
    <w:rsid w:val="00EE41D9"/>
    <w:rsid w:val="00EE4266"/>
    <w:rsid w:val="00EE4388"/>
    <w:rsid w:val="00EE43CA"/>
    <w:rsid w:val="00EE44A9"/>
    <w:rsid w:val="00EE44DD"/>
    <w:rsid w:val="00EE4543"/>
    <w:rsid w:val="00EE465B"/>
    <w:rsid w:val="00EE466D"/>
    <w:rsid w:val="00EE46F1"/>
    <w:rsid w:val="00EE47D1"/>
    <w:rsid w:val="00EE4860"/>
    <w:rsid w:val="00EE48C7"/>
    <w:rsid w:val="00EE4BCE"/>
    <w:rsid w:val="00EE4C2D"/>
    <w:rsid w:val="00EE4C66"/>
    <w:rsid w:val="00EE4C78"/>
    <w:rsid w:val="00EE4D30"/>
    <w:rsid w:val="00EE4D83"/>
    <w:rsid w:val="00EE4DA5"/>
    <w:rsid w:val="00EE4DA9"/>
    <w:rsid w:val="00EE4DF3"/>
    <w:rsid w:val="00EE4DF4"/>
    <w:rsid w:val="00EE4ECC"/>
    <w:rsid w:val="00EE4EE8"/>
    <w:rsid w:val="00EE4FBB"/>
    <w:rsid w:val="00EE5005"/>
    <w:rsid w:val="00EE50F9"/>
    <w:rsid w:val="00EE52FD"/>
    <w:rsid w:val="00EE536E"/>
    <w:rsid w:val="00EE5440"/>
    <w:rsid w:val="00EE54C5"/>
    <w:rsid w:val="00EE54FC"/>
    <w:rsid w:val="00EE5546"/>
    <w:rsid w:val="00EE554C"/>
    <w:rsid w:val="00EE55DC"/>
    <w:rsid w:val="00EE5674"/>
    <w:rsid w:val="00EE56D8"/>
    <w:rsid w:val="00EE5818"/>
    <w:rsid w:val="00EE584A"/>
    <w:rsid w:val="00EE5A0A"/>
    <w:rsid w:val="00EE5B13"/>
    <w:rsid w:val="00EE5BA2"/>
    <w:rsid w:val="00EE5BFE"/>
    <w:rsid w:val="00EE5D06"/>
    <w:rsid w:val="00EE5F4C"/>
    <w:rsid w:val="00EE5FFF"/>
    <w:rsid w:val="00EE60D7"/>
    <w:rsid w:val="00EE615D"/>
    <w:rsid w:val="00EE61BD"/>
    <w:rsid w:val="00EE61D5"/>
    <w:rsid w:val="00EE6204"/>
    <w:rsid w:val="00EE62A2"/>
    <w:rsid w:val="00EE6541"/>
    <w:rsid w:val="00EE66F0"/>
    <w:rsid w:val="00EE6705"/>
    <w:rsid w:val="00EE67E5"/>
    <w:rsid w:val="00EE6998"/>
    <w:rsid w:val="00EE69AD"/>
    <w:rsid w:val="00EE6A22"/>
    <w:rsid w:val="00EE6A65"/>
    <w:rsid w:val="00EE6A88"/>
    <w:rsid w:val="00EE6B10"/>
    <w:rsid w:val="00EE6BAA"/>
    <w:rsid w:val="00EE6C9D"/>
    <w:rsid w:val="00EE6CCD"/>
    <w:rsid w:val="00EE6E0F"/>
    <w:rsid w:val="00EE6FB0"/>
    <w:rsid w:val="00EE71B7"/>
    <w:rsid w:val="00EE750D"/>
    <w:rsid w:val="00EE78D4"/>
    <w:rsid w:val="00EE7AA5"/>
    <w:rsid w:val="00EE7CD6"/>
    <w:rsid w:val="00EE7E12"/>
    <w:rsid w:val="00EE7E72"/>
    <w:rsid w:val="00EE7E8D"/>
    <w:rsid w:val="00EF007F"/>
    <w:rsid w:val="00EF008A"/>
    <w:rsid w:val="00EF04FE"/>
    <w:rsid w:val="00EF0567"/>
    <w:rsid w:val="00EF0648"/>
    <w:rsid w:val="00EF065C"/>
    <w:rsid w:val="00EF0793"/>
    <w:rsid w:val="00EF0801"/>
    <w:rsid w:val="00EF0842"/>
    <w:rsid w:val="00EF0901"/>
    <w:rsid w:val="00EF0A47"/>
    <w:rsid w:val="00EF0BB7"/>
    <w:rsid w:val="00EF0D8F"/>
    <w:rsid w:val="00EF0DC0"/>
    <w:rsid w:val="00EF0E42"/>
    <w:rsid w:val="00EF0FAD"/>
    <w:rsid w:val="00EF13E7"/>
    <w:rsid w:val="00EF1456"/>
    <w:rsid w:val="00EF16AD"/>
    <w:rsid w:val="00EF178A"/>
    <w:rsid w:val="00EF1879"/>
    <w:rsid w:val="00EF18AF"/>
    <w:rsid w:val="00EF18E4"/>
    <w:rsid w:val="00EF1929"/>
    <w:rsid w:val="00EF195E"/>
    <w:rsid w:val="00EF19B0"/>
    <w:rsid w:val="00EF1A7D"/>
    <w:rsid w:val="00EF1BB2"/>
    <w:rsid w:val="00EF1EC3"/>
    <w:rsid w:val="00EF1ED4"/>
    <w:rsid w:val="00EF204C"/>
    <w:rsid w:val="00EF2084"/>
    <w:rsid w:val="00EF20D3"/>
    <w:rsid w:val="00EF2152"/>
    <w:rsid w:val="00EF2294"/>
    <w:rsid w:val="00EF22ED"/>
    <w:rsid w:val="00EF2303"/>
    <w:rsid w:val="00EF2435"/>
    <w:rsid w:val="00EF24CA"/>
    <w:rsid w:val="00EF2502"/>
    <w:rsid w:val="00EF287D"/>
    <w:rsid w:val="00EF28B7"/>
    <w:rsid w:val="00EF28F9"/>
    <w:rsid w:val="00EF298C"/>
    <w:rsid w:val="00EF29C9"/>
    <w:rsid w:val="00EF2D34"/>
    <w:rsid w:val="00EF2E52"/>
    <w:rsid w:val="00EF2F2C"/>
    <w:rsid w:val="00EF2F4D"/>
    <w:rsid w:val="00EF306A"/>
    <w:rsid w:val="00EF30E0"/>
    <w:rsid w:val="00EF30E7"/>
    <w:rsid w:val="00EF312F"/>
    <w:rsid w:val="00EF33F2"/>
    <w:rsid w:val="00EF3446"/>
    <w:rsid w:val="00EF3648"/>
    <w:rsid w:val="00EF36E3"/>
    <w:rsid w:val="00EF3A6A"/>
    <w:rsid w:val="00EF3C04"/>
    <w:rsid w:val="00EF3C25"/>
    <w:rsid w:val="00EF3D7E"/>
    <w:rsid w:val="00EF3F87"/>
    <w:rsid w:val="00EF414C"/>
    <w:rsid w:val="00EF41C5"/>
    <w:rsid w:val="00EF41CD"/>
    <w:rsid w:val="00EF4261"/>
    <w:rsid w:val="00EF4283"/>
    <w:rsid w:val="00EF4324"/>
    <w:rsid w:val="00EF4490"/>
    <w:rsid w:val="00EF4534"/>
    <w:rsid w:val="00EF453B"/>
    <w:rsid w:val="00EF45B9"/>
    <w:rsid w:val="00EF465B"/>
    <w:rsid w:val="00EF4692"/>
    <w:rsid w:val="00EF46DA"/>
    <w:rsid w:val="00EF46DD"/>
    <w:rsid w:val="00EF4781"/>
    <w:rsid w:val="00EF47DC"/>
    <w:rsid w:val="00EF4889"/>
    <w:rsid w:val="00EF49EF"/>
    <w:rsid w:val="00EF4C36"/>
    <w:rsid w:val="00EF4C74"/>
    <w:rsid w:val="00EF4EC5"/>
    <w:rsid w:val="00EF507E"/>
    <w:rsid w:val="00EF50BA"/>
    <w:rsid w:val="00EF5346"/>
    <w:rsid w:val="00EF53C5"/>
    <w:rsid w:val="00EF53FC"/>
    <w:rsid w:val="00EF5488"/>
    <w:rsid w:val="00EF55E0"/>
    <w:rsid w:val="00EF56CE"/>
    <w:rsid w:val="00EF56F1"/>
    <w:rsid w:val="00EF5895"/>
    <w:rsid w:val="00EF5910"/>
    <w:rsid w:val="00EF5964"/>
    <w:rsid w:val="00EF59BB"/>
    <w:rsid w:val="00EF5AA9"/>
    <w:rsid w:val="00EF5AB6"/>
    <w:rsid w:val="00EF5B52"/>
    <w:rsid w:val="00EF5BAD"/>
    <w:rsid w:val="00EF5CA8"/>
    <w:rsid w:val="00EF5CAD"/>
    <w:rsid w:val="00EF5E3C"/>
    <w:rsid w:val="00EF5E4F"/>
    <w:rsid w:val="00EF5E68"/>
    <w:rsid w:val="00EF5EBF"/>
    <w:rsid w:val="00EF600F"/>
    <w:rsid w:val="00EF61E6"/>
    <w:rsid w:val="00EF6387"/>
    <w:rsid w:val="00EF6498"/>
    <w:rsid w:val="00EF6529"/>
    <w:rsid w:val="00EF6616"/>
    <w:rsid w:val="00EF66F9"/>
    <w:rsid w:val="00EF6792"/>
    <w:rsid w:val="00EF67DD"/>
    <w:rsid w:val="00EF682B"/>
    <w:rsid w:val="00EF682D"/>
    <w:rsid w:val="00EF68E2"/>
    <w:rsid w:val="00EF68FB"/>
    <w:rsid w:val="00EF6AC5"/>
    <w:rsid w:val="00EF6B11"/>
    <w:rsid w:val="00EF6B95"/>
    <w:rsid w:val="00EF6CD8"/>
    <w:rsid w:val="00EF6D04"/>
    <w:rsid w:val="00EF6D3C"/>
    <w:rsid w:val="00EF6EFE"/>
    <w:rsid w:val="00EF6F1E"/>
    <w:rsid w:val="00EF7264"/>
    <w:rsid w:val="00EF74E0"/>
    <w:rsid w:val="00EF768E"/>
    <w:rsid w:val="00EF7738"/>
    <w:rsid w:val="00EF7739"/>
    <w:rsid w:val="00EF77CE"/>
    <w:rsid w:val="00EF7829"/>
    <w:rsid w:val="00EF7B54"/>
    <w:rsid w:val="00EF7BB7"/>
    <w:rsid w:val="00EF7C4B"/>
    <w:rsid w:val="00EF7D0C"/>
    <w:rsid w:val="00EF7D29"/>
    <w:rsid w:val="00EF7EB5"/>
    <w:rsid w:val="00F001E4"/>
    <w:rsid w:val="00F002B5"/>
    <w:rsid w:val="00F002D0"/>
    <w:rsid w:val="00F00372"/>
    <w:rsid w:val="00F004F0"/>
    <w:rsid w:val="00F005F5"/>
    <w:rsid w:val="00F0069F"/>
    <w:rsid w:val="00F0088D"/>
    <w:rsid w:val="00F00BB1"/>
    <w:rsid w:val="00F00C9E"/>
    <w:rsid w:val="00F00D72"/>
    <w:rsid w:val="00F00FC1"/>
    <w:rsid w:val="00F00FEB"/>
    <w:rsid w:val="00F010BC"/>
    <w:rsid w:val="00F010E6"/>
    <w:rsid w:val="00F0110A"/>
    <w:rsid w:val="00F01174"/>
    <w:rsid w:val="00F013C4"/>
    <w:rsid w:val="00F01464"/>
    <w:rsid w:val="00F0180A"/>
    <w:rsid w:val="00F01B1B"/>
    <w:rsid w:val="00F01C7D"/>
    <w:rsid w:val="00F01CD2"/>
    <w:rsid w:val="00F01D4B"/>
    <w:rsid w:val="00F01E74"/>
    <w:rsid w:val="00F01FC6"/>
    <w:rsid w:val="00F02533"/>
    <w:rsid w:val="00F02535"/>
    <w:rsid w:val="00F0257D"/>
    <w:rsid w:val="00F029E1"/>
    <w:rsid w:val="00F02BE3"/>
    <w:rsid w:val="00F02BFF"/>
    <w:rsid w:val="00F02DEC"/>
    <w:rsid w:val="00F03249"/>
    <w:rsid w:val="00F033B1"/>
    <w:rsid w:val="00F0358B"/>
    <w:rsid w:val="00F0370D"/>
    <w:rsid w:val="00F03966"/>
    <w:rsid w:val="00F039F9"/>
    <w:rsid w:val="00F03A28"/>
    <w:rsid w:val="00F03C76"/>
    <w:rsid w:val="00F03D92"/>
    <w:rsid w:val="00F03D94"/>
    <w:rsid w:val="00F03E20"/>
    <w:rsid w:val="00F03E80"/>
    <w:rsid w:val="00F03FDD"/>
    <w:rsid w:val="00F0420B"/>
    <w:rsid w:val="00F044DF"/>
    <w:rsid w:val="00F0466D"/>
    <w:rsid w:val="00F048FB"/>
    <w:rsid w:val="00F04B83"/>
    <w:rsid w:val="00F04BD6"/>
    <w:rsid w:val="00F04CC0"/>
    <w:rsid w:val="00F04CD8"/>
    <w:rsid w:val="00F04E4B"/>
    <w:rsid w:val="00F04E9D"/>
    <w:rsid w:val="00F04F35"/>
    <w:rsid w:val="00F05035"/>
    <w:rsid w:val="00F05202"/>
    <w:rsid w:val="00F05329"/>
    <w:rsid w:val="00F05366"/>
    <w:rsid w:val="00F053B0"/>
    <w:rsid w:val="00F0546A"/>
    <w:rsid w:val="00F054D5"/>
    <w:rsid w:val="00F0565D"/>
    <w:rsid w:val="00F057E3"/>
    <w:rsid w:val="00F05802"/>
    <w:rsid w:val="00F05825"/>
    <w:rsid w:val="00F0584C"/>
    <w:rsid w:val="00F058C5"/>
    <w:rsid w:val="00F0590E"/>
    <w:rsid w:val="00F05988"/>
    <w:rsid w:val="00F05D7F"/>
    <w:rsid w:val="00F05DB1"/>
    <w:rsid w:val="00F05E40"/>
    <w:rsid w:val="00F05E98"/>
    <w:rsid w:val="00F05EE8"/>
    <w:rsid w:val="00F05F96"/>
    <w:rsid w:val="00F06012"/>
    <w:rsid w:val="00F0607D"/>
    <w:rsid w:val="00F0614C"/>
    <w:rsid w:val="00F061BA"/>
    <w:rsid w:val="00F0624B"/>
    <w:rsid w:val="00F06501"/>
    <w:rsid w:val="00F065F5"/>
    <w:rsid w:val="00F066C7"/>
    <w:rsid w:val="00F0670B"/>
    <w:rsid w:val="00F06A7B"/>
    <w:rsid w:val="00F06AE9"/>
    <w:rsid w:val="00F06C74"/>
    <w:rsid w:val="00F06D4C"/>
    <w:rsid w:val="00F06E11"/>
    <w:rsid w:val="00F0745F"/>
    <w:rsid w:val="00F077E3"/>
    <w:rsid w:val="00F07843"/>
    <w:rsid w:val="00F0788D"/>
    <w:rsid w:val="00F079EC"/>
    <w:rsid w:val="00F07A7D"/>
    <w:rsid w:val="00F07A96"/>
    <w:rsid w:val="00F07AED"/>
    <w:rsid w:val="00F07BBD"/>
    <w:rsid w:val="00F07BE1"/>
    <w:rsid w:val="00F07CD5"/>
    <w:rsid w:val="00F07F39"/>
    <w:rsid w:val="00F100F6"/>
    <w:rsid w:val="00F1023D"/>
    <w:rsid w:val="00F102A3"/>
    <w:rsid w:val="00F10485"/>
    <w:rsid w:val="00F104D2"/>
    <w:rsid w:val="00F10578"/>
    <w:rsid w:val="00F105B3"/>
    <w:rsid w:val="00F105EF"/>
    <w:rsid w:val="00F1067C"/>
    <w:rsid w:val="00F106FB"/>
    <w:rsid w:val="00F10A15"/>
    <w:rsid w:val="00F10B52"/>
    <w:rsid w:val="00F10B85"/>
    <w:rsid w:val="00F10BBF"/>
    <w:rsid w:val="00F10F71"/>
    <w:rsid w:val="00F10FBE"/>
    <w:rsid w:val="00F10FE0"/>
    <w:rsid w:val="00F1116F"/>
    <w:rsid w:val="00F111ED"/>
    <w:rsid w:val="00F11360"/>
    <w:rsid w:val="00F113F4"/>
    <w:rsid w:val="00F114F0"/>
    <w:rsid w:val="00F1165C"/>
    <w:rsid w:val="00F11762"/>
    <w:rsid w:val="00F1181F"/>
    <w:rsid w:val="00F1184A"/>
    <w:rsid w:val="00F118AD"/>
    <w:rsid w:val="00F11AFA"/>
    <w:rsid w:val="00F11B7F"/>
    <w:rsid w:val="00F11C5A"/>
    <w:rsid w:val="00F11D2F"/>
    <w:rsid w:val="00F11E87"/>
    <w:rsid w:val="00F121AE"/>
    <w:rsid w:val="00F1220E"/>
    <w:rsid w:val="00F12247"/>
    <w:rsid w:val="00F12549"/>
    <w:rsid w:val="00F125E3"/>
    <w:rsid w:val="00F1260D"/>
    <w:rsid w:val="00F12643"/>
    <w:rsid w:val="00F12780"/>
    <w:rsid w:val="00F127F3"/>
    <w:rsid w:val="00F1285E"/>
    <w:rsid w:val="00F12862"/>
    <w:rsid w:val="00F12876"/>
    <w:rsid w:val="00F12D00"/>
    <w:rsid w:val="00F12D05"/>
    <w:rsid w:val="00F12FD7"/>
    <w:rsid w:val="00F13136"/>
    <w:rsid w:val="00F13351"/>
    <w:rsid w:val="00F13475"/>
    <w:rsid w:val="00F134BF"/>
    <w:rsid w:val="00F134CC"/>
    <w:rsid w:val="00F13583"/>
    <w:rsid w:val="00F137DE"/>
    <w:rsid w:val="00F13867"/>
    <w:rsid w:val="00F13960"/>
    <w:rsid w:val="00F1396E"/>
    <w:rsid w:val="00F13FEF"/>
    <w:rsid w:val="00F141F9"/>
    <w:rsid w:val="00F1425B"/>
    <w:rsid w:val="00F1428E"/>
    <w:rsid w:val="00F142B4"/>
    <w:rsid w:val="00F14320"/>
    <w:rsid w:val="00F1444E"/>
    <w:rsid w:val="00F145A4"/>
    <w:rsid w:val="00F14A09"/>
    <w:rsid w:val="00F14E55"/>
    <w:rsid w:val="00F14EAF"/>
    <w:rsid w:val="00F14FDF"/>
    <w:rsid w:val="00F1506B"/>
    <w:rsid w:val="00F15109"/>
    <w:rsid w:val="00F15236"/>
    <w:rsid w:val="00F15357"/>
    <w:rsid w:val="00F15880"/>
    <w:rsid w:val="00F1599B"/>
    <w:rsid w:val="00F15C04"/>
    <w:rsid w:val="00F15E83"/>
    <w:rsid w:val="00F15F12"/>
    <w:rsid w:val="00F16389"/>
    <w:rsid w:val="00F1642C"/>
    <w:rsid w:val="00F164D3"/>
    <w:rsid w:val="00F16536"/>
    <w:rsid w:val="00F166D3"/>
    <w:rsid w:val="00F16821"/>
    <w:rsid w:val="00F16869"/>
    <w:rsid w:val="00F169A3"/>
    <w:rsid w:val="00F169A9"/>
    <w:rsid w:val="00F169DA"/>
    <w:rsid w:val="00F16B58"/>
    <w:rsid w:val="00F16B61"/>
    <w:rsid w:val="00F16E98"/>
    <w:rsid w:val="00F16F28"/>
    <w:rsid w:val="00F17082"/>
    <w:rsid w:val="00F170CE"/>
    <w:rsid w:val="00F1731A"/>
    <w:rsid w:val="00F174BB"/>
    <w:rsid w:val="00F174F2"/>
    <w:rsid w:val="00F175B8"/>
    <w:rsid w:val="00F17683"/>
    <w:rsid w:val="00F177E6"/>
    <w:rsid w:val="00F1782D"/>
    <w:rsid w:val="00F1793B"/>
    <w:rsid w:val="00F17A3D"/>
    <w:rsid w:val="00F17A8A"/>
    <w:rsid w:val="00F17AB1"/>
    <w:rsid w:val="00F17B99"/>
    <w:rsid w:val="00F17BAA"/>
    <w:rsid w:val="00F17C95"/>
    <w:rsid w:val="00F17CCC"/>
    <w:rsid w:val="00F17CCF"/>
    <w:rsid w:val="00F2007A"/>
    <w:rsid w:val="00F20162"/>
    <w:rsid w:val="00F202D6"/>
    <w:rsid w:val="00F203E2"/>
    <w:rsid w:val="00F20455"/>
    <w:rsid w:val="00F2049B"/>
    <w:rsid w:val="00F20687"/>
    <w:rsid w:val="00F2072C"/>
    <w:rsid w:val="00F2073C"/>
    <w:rsid w:val="00F20793"/>
    <w:rsid w:val="00F20834"/>
    <w:rsid w:val="00F20838"/>
    <w:rsid w:val="00F20922"/>
    <w:rsid w:val="00F209D5"/>
    <w:rsid w:val="00F20A27"/>
    <w:rsid w:val="00F20D74"/>
    <w:rsid w:val="00F21058"/>
    <w:rsid w:val="00F21130"/>
    <w:rsid w:val="00F211BE"/>
    <w:rsid w:val="00F2124A"/>
    <w:rsid w:val="00F2127C"/>
    <w:rsid w:val="00F214AE"/>
    <w:rsid w:val="00F21706"/>
    <w:rsid w:val="00F21767"/>
    <w:rsid w:val="00F218B7"/>
    <w:rsid w:val="00F21956"/>
    <w:rsid w:val="00F21A34"/>
    <w:rsid w:val="00F21B87"/>
    <w:rsid w:val="00F21BAD"/>
    <w:rsid w:val="00F21D66"/>
    <w:rsid w:val="00F21DF8"/>
    <w:rsid w:val="00F21E03"/>
    <w:rsid w:val="00F21E9A"/>
    <w:rsid w:val="00F21E9F"/>
    <w:rsid w:val="00F21F7C"/>
    <w:rsid w:val="00F22240"/>
    <w:rsid w:val="00F22352"/>
    <w:rsid w:val="00F2249B"/>
    <w:rsid w:val="00F224A7"/>
    <w:rsid w:val="00F224BA"/>
    <w:rsid w:val="00F224DD"/>
    <w:rsid w:val="00F22573"/>
    <w:rsid w:val="00F225B0"/>
    <w:rsid w:val="00F225D3"/>
    <w:rsid w:val="00F2264E"/>
    <w:rsid w:val="00F2288A"/>
    <w:rsid w:val="00F22912"/>
    <w:rsid w:val="00F22BCC"/>
    <w:rsid w:val="00F22E9A"/>
    <w:rsid w:val="00F22EDF"/>
    <w:rsid w:val="00F23129"/>
    <w:rsid w:val="00F2322B"/>
    <w:rsid w:val="00F2326B"/>
    <w:rsid w:val="00F23375"/>
    <w:rsid w:val="00F233D4"/>
    <w:rsid w:val="00F23548"/>
    <w:rsid w:val="00F23576"/>
    <w:rsid w:val="00F235E3"/>
    <w:rsid w:val="00F2374C"/>
    <w:rsid w:val="00F23815"/>
    <w:rsid w:val="00F239ED"/>
    <w:rsid w:val="00F23BB3"/>
    <w:rsid w:val="00F23D42"/>
    <w:rsid w:val="00F23D5B"/>
    <w:rsid w:val="00F23E2D"/>
    <w:rsid w:val="00F23FFB"/>
    <w:rsid w:val="00F2404B"/>
    <w:rsid w:val="00F24081"/>
    <w:rsid w:val="00F240A0"/>
    <w:rsid w:val="00F241A6"/>
    <w:rsid w:val="00F24284"/>
    <w:rsid w:val="00F243B6"/>
    <w:rsid w:val="00F2471A"/>
    <w:rsid w:val="00F2476C"/>
    <w:rsid w:val="00F248F4"/>
    <w:rsid w:val="00F24919"/>
    <w:rsid w:val="00F249A0"/>
    <w:rsid w:val="00F24B5F"/>
    <w:rsid w:val="00F25128"/>
    <w:rsid w:val="00F2518D"/>
    <w:rsid w:val="00F25268"/>
    <w:rsid w:val="00F25300"/>
    <w:rsid w:val="00F253E7"/>
    <w:rsid w:val="00F253F2"/>
    <w:rsid w:val="00F254F0"/>
    <w:rsid w:val="00F2569F"/>
    <w:rsid w:val="00F2571A"/>
    <w:rsid w:val="00F25751"/>
    <w:rsid w:val="00F2582A"/>
    <w:rsid w:val="00F2588B"/>
    <w:rsid w:val="00F25A6C"/>
    <w:rsid w:val="00F25BAA"/>
    <w:rsid w:val="00F25CC8"/>
    <w:rsid w:val="00F25EC9"/>
    <w:rsid w:val="00F26129"/>
    <w:rsid w:val="00F261CB"/>
    <w:rsid w:val="00F263DA"/>
    <w:rsid w:val="00F26402"/>
    <w:rsid w:val="00F264A0"/>
    <w:rsid w:val="00F2661B"/>
    <w:rsid w:val="00F266AD"/>
    <w:rsid w:val="00F2679C"/>
    <w:rsid w:val="00F26946"/>
    <w:rsid w:val="00F269D1"/>
    <w:rsid w:val="00F26AC3"/>
    <w:rsid w:val="00F26C63"/>
    <w:rsid w:val="00F26C9B"/>
    <w:rsid w:val="00F26D37"/>
    <w:rsid w:val="00F27185"/>
    <w:rsid w:val="00F2719A"/>
    <w:rsid w:val="00F271FC"/>
    <w:rsid w:val="00F27227"/>
    <w:rsid w:val="00F272D9"/>
    <w:rsid w:val="00F2731E"/>
    <w:rsid w:val="00F274BD"/>
    <w:rsid w:val="00F2767D"/>
    <w:rsid w:val="00F2784A"/>
    <w:rsid w:val="00F278F4"/>
    <w:rsid w:val="00F279B6"/>
    <w:rsid w:val="00F279EB"/>
    <w:rsid w:val="00F27A23"/>
    <w:rsid w:val="00F27E39"/>
    <w:rsid w:val="00F27FC0"/>
    <w:rsid w:val="00F30065"/>
    <w:rsid w:val="00F30146"/>
    <w:rsid w:val="00F304F1"/>
    <w:rsid w:val="00F305F2"/>
    <w:rsid w:val="00F30681"/>
    <w:rsid w:val="00F30895"/>
    <w:rsid w:val="00F309E9"/>
    <w:rsid w:val="00F30A37"/>
    <w:rsid w:val="00F30B60"/>
    <w:rsid w:val="00F30D13"/>
    <w:rsid w:val="00F30E37"/>
    <w:rsid w:val="00F30E76"/>
    <w:rsid w:val="00F30ED1"/>
    <w:rsid w:val="00F3142A"/>
    <w:rsid w:val="00F3146D"/>
    <w:rsid w:val="00F314AF"/>
    <w:rsid w:val="00F314B5"/>
    <w:rsid w:val="00F316EC"/>
    <w:rsid w:val="00F317C7"/>
    <w:rsid w:val="00F317EF"/>
    <w:rsid w:val="00F3188F"/>
    <w:rsid w:val="00F318E1"/>
    <w:rsid w:val="00F31923"/>
    <w:rsid w:val="00F31BA3"/>
    <w:rsid w:val="00F31BAC"/>
    <w:rsid w:val="00F31BCE"/>
    <w:rsid w:val="00F31DCC"/>
    <w:rsid w:val="00F31F3F"/>
    <w:rsid w:val="00F31FB6"/>
    <w:rsid w:val="00F3205C"/>
    <w:rsid w:val="00F32092"/>
    <w:rsid w:val="00F32195"/>
    <w:rsid w:val="00F321C7"/>
    <w:rsid w:val="00F32470"/>
    <w:rsid w:val="00F326B9"/>
    <w:rsid w:val="00F326BD"/>
    <w:rsid w:val="00F32783"/>
    <w:rsid w:val="00F328AA"/>
    <w:rsid w:val="00F32A0F"/>
    <w:rsid w:val="00F32B49"/>
    <w:rsid w:val="00F32F63"/>
    <w:rsid w:val="00F32F67"/>
    <w:rsid w:val="00F3312D"/>
    <w:rsid w:val="00F331B4"/>
    <w:rsid w:val="00F331C3"/>
    <w:rsid w:val="00F3346D"/>
    <w:rsid w:val="00F334A3"/>
    <w:rsid w:val="00F33522"/>
    <w:rsid w:val="00F33529"/>
    <w:rsid w:val="00F33694"/>
    <w:rsid w:val="00F33698"/>
    <w:rsid w:val="00F33765"/>
    <w:rsid w:val="00F33972"/>
    <w:rsid w:val="00F3399D"/>
    <w:rsid w:val="00F339AB"/>
    <w:rsid w:val="00F33ACC"/>
    <w:rsid w:val="00F33ADD"/>
    <w:rsid w:val="00F33CF6"/>
    <w:rsid w:val="00F33DDB"/>
    <w:rsid w:val="00F33DF4"/>
    <w:rsid w:val="00F33FD4"/>
    <w:rsid w:val="00F3412C"/>
    <w:rsid w:val="00F34247"/>
    <w:rsid w:val="00F345D5"/>
    <w:rsid w:val="00F3462C"/>
    <w:rsid w:val="00F346B5"/>
    <w:rsid w:val="00F346C6"/>
    <w:rsid w:val="00F34707"/>
    <w:rsid w:val="00F347EA"/>
    <w:rsid w:val="00F34856"/>
    <w:rsid w:val="00F34A9E"/>
    <w:rsid w:val="00F34D63"/>
    <w:rsid w:val="00F34D8B"/>
    <w:rsid w:val="00F34E0D"/>
    <w:rsid w:val="00F34FCE"/>
    <w:rsid w:val="00F35101"/>
    <w:rsid w:val="00F35263"/>
    <w:rsid w:val="00F35310"/>
    <w:rsid w:val="00F35353"/>
    <w:rsid w:val="00F3549F"/>
    <w:rsid w:val="00F35525"/>
    <w:rsid w:val="00F35563"/>
    <w:rsid w:val="00F35619"/>
    <w:rsid w:val="00F35643"/>
    <w:rsid w:val="00F356DB"/>
    <w:rsid w:val="00F3570E"/>
    <w:rsid w:val="00F357B8"/>
    <w:rsid w:val="00F35845"/>
    <w:rsid w:val="00F35A02"/>
    <w:rsid w:val="00F35AE6"/>
    <w:rsid w:val="00F36061"/>
    <w:rsid w:val="00F3608E"/>
    <w:rsid w:val="00F36096"/>
    <w:rsid w:val="00F361AE"/>
    <w:rsid w:val="00F36269"/>
    <w:rsid w:val="00F3631C"/>
    <w:rsid w:val="00F36390"/>
    <w:rsid w:val="00F363BE"/>
    <w:rsid w:val="00F365E6"/>
    <w:rsid w:val="00F366F0"/>
    <w:rsid w:val="00F3672A"/>
    <w:rsid w:val="00F3673B"/>
    <w:rsid w:val="00F367CC"/>
    <w:rsid w:val="00F36894"/>
    <w:rsid w:val="00F36951"/>
    <w:rsid w:val="00F3695D"/>
    <w:rsid w:val="00F36DD3"/>
    <w:rsid w:val="00F36DEA"/>
    <w:rsid w:val="00F36FF2"/>
    <w:rsid w:val="00F37013"/>
    <w:rsid w:val="00F37097"/>
    <w:rsid w:val="00F370CE"/>
    <w:rsid w:val="00F370FD"/>
    <w:rsid w:val="00F37180"/>
    <w:rsid w:val="00F37250"/>
    <w:rsid w:val="00F3731D"/>
    <w:rsid w:val="00F3733A"/>
    <w:rsid w:val="00F37545"/>
    <w:rsid w:val="00F378DE"/>
    <w:rsid w:val="00F3797F"/>
    <w:rsid w:val="00F37A32"/>
    <w:rsid w:val="00F37BA4"/>
    <w:rsid w:val="00F37C20"/>
    <w:rsid w:val="00F37C28"/>
    <w:rsid w:val="00F37C76"/>
    <w:rsid w:val="00F37CA5"/>
    <w:rsid w:val="00F37CCC"/>
    <w:rsid w:val="00F37CCF"/>
    <w:rsid w:val="00F37F3C"/>
    <w:rsid w:val="00F37FFD"/>
    <w:rsid w:val="00F4011E"/>
    <w:rsid w:val="00F401CD"/>
    <w:rsid w:val="00F401F4"/>
    <w:rsid w:val="00F4021A"/>
    <w:rsid w:val="00F40239"/>
    <w:rsid w:val="00F40277"/>
    <w:rsid w:val="00F402A3"/>
    <w:rsid w:val="00F40583"/>
    <w:rsid w:val="00F406E4"/>
    <w:rsid w:val="00F40754"/>
    <w:rsid w:val="00F40820"/>
    <w:rsid w:val="00F4086C"/>
    <w:rsid w:val="00F408A9"/>
    <w:rsid w:val="00F40974"/>
    <w:rsid w:val="00F40CD4"/>
    <w:rsid w:val="00F40D92"/>
    <w:rsid w:val="00F40E29"/>
    <w:rsid w:val="00F40E46"/>
    <w:rsid w:val="00F40F71"/>
    <w:rsid w:val="00F41193"/>
    <w:rsid w:val="00F411DC"/>
    <w:rsid w:val="00F41245"/>
    <w:rsid w:val="00F413EE"/>
    <w:rsid w:val="00F414EE"/>
    <w:rsid w:val="00F416D8"/>
    <w:rsid w:val="00F416EB"/>
    <w:rsid w:val="00F4170D"/>
    <w:rsid w:val="00F419B3"/>
    <w:rsid w:val="00F41AAF"/>
    <w:rsid w:val="00F41CB2"/>
    <w:rsid w:val="00F41DE4"/>
    <w:rsid w:val="00F41E70"/>
    <w:rsid w:val="00F41FB7"/>
    <w:rsid w:val="00F41FB8"/>
    <w:rsid w:val="00F420F9"/>
    <w:rsid w:val="00F42142"/>
    <w:rsid w:val="00F42167"/>
    <w:rsid w:val="00F421A9"/>
    <w:rsid w:val="00F421FB"/>
    <w:rsid w:val="00F422C3"/>
    <w:rsid w:val="00F4245A"/>
    <w:rsid w:val="00F4248F"/>
    <w:rsid w:val="00F42670"/>
    <w:rsid w:val="00F42932"/>
    <w:rsid w:val="00F42A59"/>
    <w:rsid w:val="00F42B53"/>
    <w:rsid w:val="00F42BEE"/>
    <w:rsid w:val="00F42C83"/>
    <w:rsid w:val="00F42E3E"/>
    <w:rsid w:val="00F42F40"/>
    <w:rsid w:val="00F42F71"/>
    <w:rsid w:val="00F42F87"/>
    <w:rsid w:val="00F430C5"/>
    <w:rsid w:val="00F43121"/>
    <w:rsid w:val="00F4313A"/>
    <w:rsid w:val="00F431F3"/>
    <w:rsid w:val="00F43433"/>
    <w:rsid w:val="00F43523"/>
    <w:rsid w:val="00F435DC"/>
    <w:rsid w:val="00F43607"/>
    <w:rsid w:val="00F4368F"/>
    <w:rsid w:val="00F438D9"/>
    <w:rsid w:val="00F43931"/>
    <w:rsid w:val="00F43939"/>
    <w:rsid w:val="00F4396B"/>
    <w:rsid w:val="00F439DF"/>
    <w:rsid w:val="00F43B24"/>
    <w:rsid w:val="00F43B9C"/>
    <w:rsid w:val="00F43BC3"/>
    <w:rsid w:val="00F43C26"/>
    <w:rsid w:val="00F43C7B"/>
    <w:rsid w:val="00F43CD7"/>
    <w:rsid w:val="00F43D14"/>
    <w:rsid w:val="00F43F84"/>
    <w:rsid w:val="00F43F87"/>
    <w:rsid w:val="00F4409D"/>
    <w:rsid w:val="00F440B5"/>
    <w:rsid w:val="00F440EB"/>
    <w:rsid w:val="00F4420D"/>
    <w:rsid w:val="00F44311"/>
    <w:rsid w:val="00F44343"/>
    <w:rsid w:val="00F443E2"/>
    <w:rsid w:val="00F44404"/>
    <w:rsid w:val="00F4450D"/>
    <w:rsid w:val="00F44562"/>
    <w:rsid w:val="00F446EE"/>
    <w:rsid w:val="00F44777"/>
    <w:rsid w:val="00F44833"/>
    <w:rsid w:val="00F44883"/>
    <w:rsid w:val="00F4495E"/>
    <w:rsid w:val="00F4496F"/>
    <w:rsid w:val="00F44A60"/>
    <w:rsid w:val="00F44A77"/>
    <w:rsid w:val="00F44ACE"/>
    <w:rsid w:val="00F44AEA"/>
    <w:rsid w:val="00F44D42"/>
    <w:rsid w:val="00F44E1F"/>
    <w:rsid w:val="00F45096"/>
    <w:rsid w:val="00F45122"/>
    <w:rsid w:val="00F45304"/>
    <w:rsid w:val="00F45653"/>
    <w:rsid w:val="00F45664"/>
    <w:rsid w:val="00F457E6"/>
    <w:rsid w:val="00F45845"/>
    <w:rsid w:val="00F45855"/>
    <w:rsid w:val="00F45866"/>
    <w:rsid w:val="00F45AC7"/>
    <w:rsid w:val="00F45B1B"/>
    <w:rsid w:val="00F45BB9"/>
    <w:rsid w:val="00F45DC3"/>
    <w:rsid w:val="00F4601E"/>
    <w:rsid w:val="00F462EC"/>
    <w:rsid w:val="00F463C8"/>
    <w:rsid w:val="00F468B2"/>
    <w:rsid w:val="00F46925"/>
    <w:rsid w:val="00F46D8D"/>
    <w:rsid w:val="00F46EB2"/>
    <w:rsid w:val="00F46FB7"/>
    <w:rsid w:val="00F4703F"/>
    <w:rsid w:val="00F47104"/>
    <w:rsid w:val="00F47147"/>
    <w:rsid w:val="00F47155"/>
    <w:rsid w:val="00F47167"/>
    <w:rsid w:val="00F471A8"/>
    <w:rsid w:val="00F471B2"/>
    <w:rsid w:val="00F471ED"/>
    <w:rsid w:val="00F472C8"/>
    <w:rsid w:val="00F472F5"/>
    <w:rsid w:val="00F473DF"/>
    <w:rsid w:val="00F4749E"/>
    <w:rsid w:val="00F474BB"/>
    <w:rsid w:val="00F474C9"/>
    <w:rsid w:val="00F475B8"/>
    <w:rsid w:val="00F4772A"/>
    <w:rsid w:val="00F478C3"/>
    <w:rsid w:val="00F4796F"/>
    <w:rsid w:val="00F47981"/>
    <w:rsid w:val="00F47B52"/>
    <w:rsid w:val="00F47DD8"/>
    <w:rsid w:val="00F47DF3"/>
    <w:rsid w:val="00F47F95"/>
    <w:rsid w:val="00F50031"/>
    <w:rsid w:val="00F500E7"/>
    <w:rsid w:val="00F5015A"/>
    <w:rsid w:val="00F501B9"/>
    <w:rsid w:val="00F5027E"/>
    <w:rsid w:val="00F50325"/>
    <w:rsid w:val="00F503F4"/>
    <w:rsid w:val="00F5040F"/>
    <w:rsid w:val="00F5054A"/>
    <w:rsid w:val="00F5056B"/>
    <w:rsid w:val="00F506D2"/>
    <w:rsid w:val="00F506D4"/>
    <w:rsid w:val="00F50803"/>
    <w:rsid w:val="00F50844"/>
    <w:rsid w:val="00F50940"/>
    <w:rsid w:val="00F50B01"/>
    <w:rsid w:val="00F50BA8"/>
    <w:rsid w:val="00F50D7F"/>
    <w:rsid w:val="00F50F0B"/>
    <w:rsid w:val="00F50FF1"/>
    <w:rsid w:val="00F513B3"/>
    <w:rsid w:val="00F5150D"/>
    <w:rsid w:val="00F5161C"/>
    <w:rsid w:val="00F51792"/>
    <w:rsid w:val="00F51956"/>
    <w:rsid w:val="00F51AC9"/>
    <w:rsid w:val="00F51B7C"/>
    <w:rsid w:val="00F51C51"/>
    <w:rsid w:val="00F51CEE"/>
    <w:rsid w:val="00F51EEE"/>
    <w:rsid w:val="00F52145"/>
    <w:rsid w:val="00F521AC"/>
    <w:rsid w:val="00F521F1"/>
    <w:rsid w:val="00F522A6"/>
    <w:rsid w:val="00F525FB"/>
    <w:rsid w:val="00F526CF"/>
    <w:rsid w:val="00F52807"/>
    <w:rsid w:val="00F52808"/>
    <w:rsid w:val="00F5283E"/>
    <w:rsid w:val="00F52881"/>
    <w:rsid w:val="00F5295C"/>
    <w:rsid w:val="00F529A4"/>
    <w:rsid w:val="00F52A22"/>
    <w:rsid w:val="00F52B0F"/>
    <w:rsid w:val="00F52BAD"/>
    <w:rsid w:val="00F52C38"/>
    <w:rsid w:val="00F52CB7"/>
    <w:rsid w:val="00F52D6A"/>
    <w:rsid w:val="00F52F2A"/>
    <w:rsid w:val="00F52F72"/>
    <w:rsid w:val="00F530CE"/>
    <w:rsid w:val="00F53369"/>
    <w:rsid w:val="00F53377"/>
    <w:rsid w:val="00F53418"/>
    <w:rsid w:val="00F534C3"/>
    <w:rsid w:val="00F534E3"/>
    <w:rsid w:val="00F53523"/>
    <w:rsid w:val="00F535A9"/>
    <w:rsid w:val="00F53685"/>
    <w:rsid w:val="00F53707"/>
    <w:rsid w:val="00F537CF"/>
    <w:rsid w:val="00F5386A"/>
    <w:rsid w:val="00F53947"/>
    <w:rsid w:val="00F53959"/>
    <w:rsid w:val="00F539CA"/>
    <w:rsid w:val="00F53A1E"/>
    <w:rsid w:val="00F53A35"/>
    <w:rsid w:val="00F53A4B"/>
    <w:rsid w:val="00F53A9D"/>
    <w:rsid w:val="00F53C39"/>
    <w:rsid w:val="00F54610"/>
    <w:rsid w:val="00F54641"/>
    <w:rsid w:val="00F5467D"/>
    <w:rsid w:val="00F54767"/>
    <w:rsid w:val="00F547CA"/>
    <w:rsid w:val="00F549A8"/>
    <w:rsid w:val="00F54AB9"/>
    <w:rsid w:val="00F54AEF"/>
    <w:rsid w:val="00F54B3D"/>
    <w:rsid w:val="00F54BB1"/>
    <w:rsid w:val="00F54D03"/>
    <w:rsid w:val="00F54E12"/>
    <w:rsid w:val="00F54FBF"/>
    <w:rsid w:val="00F54FE6"/>
    <w:rsid w:val="00F554FB"/>
    <w:rsid w:val="00F5566E"/>
    <w:rsid w:val="00F557DB"/>
    <w:rsid w:val="00F55859"/>
    <w:rsid w:val="00F55984"/>
    <w:rsid w:val="00F55A94"/>
    <w:rsid w:val="00F55C51"/>
    <w:rsid w:val="00F55C7E"/>
    <w:rsid w:val="00F55CAE"/>
    <w:rsid w:val="00F55D56"/>
    <w:rsid w:val="00F55DB4"/>
    <w:rsid w:val="00F55F8C"/>
    <w:rsid w:val="00F56060"/>
    <w:rsid w:val="00F56208"/>
    <w:rsid w:val="00F56220"/>
    <w:rsid w:val="00F56245"/>
    <w:rsid w:val="00F56286"/>
    <w:rsid w:val="00F56289"/>
    <w:rsid w:val="00F562EF"/>
    <w:rsid w:val="00F56315"/>
    <w:rsid w:val="00F5637D"/>
    <w:rsid w:val="00F566B9"/>
    <w:rsid w:val="00F56763"/>
    <w:rsid w:val="00F5689C"/>
    <w:rsid w:val="00F56941"/>
    <w:rsid w:val="00F56ACD"/>
    <w:rsid w:val="00F56BAA"/>
    <w:rsid w:val="00F56C12"/>
    <w:rsid w:val="00F56C24"/>
    <w:rsid w:val="00F56C44"/>
    <w:rsid w:val="00F56D44"/>
    <w:rsid w:val="00F57297"/>
    <w:rsid w:val="00F572AB"/>
    <w:rsid w:val="00F572B8"/>
    <w:rsid w:val="00F5742F"/>
    <w:rsid w:val="00F5745A"/>
    <w:rsid w:val="00F57552"/>
    <w:rsid w:val="00F57649"/>
    <w:rsid w:val="00F5795A"/>
    <w:rsid w:val="00F57BC7"/>
    <w:rsid w:val="00F57BF0"/>
    <w:rsid w:val="00F57C15"/>
    <w:rsid w:val="00F57C44"/>
    <w:rsid w:val="00F57CBB"/>
    <w:rsid w:val="00F57E1C"/>
    <w:rsid w:val="00F57FA5"/>
    <w:rsid w:val="00F600D7"/>
    <w:rsid w:val="00F601E7"/>
    <w:rsid w:val="00F60345"/>
    <w:rsid w:val="00F60438"/>
    <w:rsid w:val="00F60499"/>
    <w:rsid w:val="00F60592"/>
    <w:rsid w:val="00F605AB"/>
    <w:rsid w:val="00F607CB"/>
    <w:rsid w:val="00F607F1"/>
    <w:rsid w:val="00F608A2"/>
    <w:rsid w:val="00F60987"/>
    <w:rsid w:val="00F60AEA"/>
    <w:rsid w:val="00F60BE4"/>
    <w:rsid w:val="00F60D4F"/>
    <w:rsid w:val="00F60E22"/>
    <w:rsid w:val="00F60F50"/>
    <w:rsid w:val="00F611AA"/>
    <w:rsid w:val="00F61205"/>
    <w:rsid w:val="00F6123C"/>
    <w:rsid w:val="00F61384"/>
    <w:rsid w:val="00F6141F"/>
    <w:rsid w:val="00F61475"/>
    <w:rsid w:val="00F61497"/>
    <w:rsid w:val="00F6152C"/>
    <w:rsid w:val="00F615C8"/>
    <w:rsid w:val="00F61641"/>
    <w:rsid w:val="00F616AD"/>
    <w:rsid w:val="00F61775"/>
    <w:rsid w:val="00F618F1"/>
    <w:rsid w:val="00F6198C"/>
    <w:rsid w:val="00F61AE7"/>
    <w:rsid w:val="00F61B92"/>
    <w:rsid w:val="00F61E6D"/>
    <w:rsid w:val="00F61E9F"/>
    <w:rsid w:val="00F6200E"/>
    <w:rsid w:val="00F62187"/>
    <w:rsid w:val="00F621CF"/>
    <w:rsid w:val="00F621DF"/>
    <w:rsid w:val="00F62222"/>
    <w:rsid w:val="00F623B3"/>
    <w:rsid w:val="00F6245F"/>
    <w:rsid w:val="00F62551"/>
    <w:rsid w:val="00F62619"/>
    <w:rsid w:val="00F62708"/>
    <w:rsid w:val="00F627E8"/>
    <w:rsid w:val="00F62951"/>
    <w:rsid w:val="00F62A46"/>
    <w:rsid w:val="00F62C6B"/>
    <w:rsid w:val="00F62FB5"/>
    <w:rsid w:val="00F63013"/>
    <w:rsid w:val="00F63035"/>
    <w:rsid w:val="00F6346B"/>
    <w:rsid w:val="00F634A0"/>
    <w:rsid w:val="00F6351B"/>
    <w:rsid w:val="00F6352D"/>
    <w:rsid w:val="00F6352E"/>
    <w:rsid w:val="00F6352F"/>
    <w:rsid w:val="00F63ABF"/>
    <w:rsid w:val="00F63AE7"/>
    <w:rsid w:val="00F63D42"/>
    <w:rsid w:val="00F63D55"/>
    <w:rsid w:val="00F63E1B"/>
    <w:rsid w:val="00F63F34"/>
    <w:rsid w:val="00F63F5D"/>
    <w:rsid w:val="00F6408B"/>
    <w:rsid w:val="00F640B9"/>
    <w:rsid w:val="00F64329"/>
    <w:rsid w:val="00F643ED"/>
    <w:rsid w:val="00F64659"/>
    <w:rsid w:val="00F646A8"/>
    <w:rsid w:val="00F64794"/>
    <w:rsid w:val="00F64890"/>
    <w:rsid w:val="00F649D6"/>
    <w:rsid w:val="00F64AB5"/>
    <w:rsid w:val="00F64B3B"/>
    <w:rsid w:val="00F64DF7"/>
    <w:rsid w:val="00F64E12"/>
    <w:rsid w:val="00F64E34"/>
    <w:rsid w:val="00F64E91"/>
    <w:rsid w:val="00F64ECF"/>
    <w:rsid w:val="00F64F25"/>
    <w:rsid w:val="00F64FAE"/>
    <w:rsid w:val="00F6500A"/>
    <w:rsid w:val="00F65031"/>
    <w:rsid w:val="00F6524E"/>
    <w:rsid w:val="00F65281"/>
    <w:rsid w:val="00F652BD"/>
    <w:rsid w:val="00F652F4"/>
    <w:rsid w:val="00F65315"/>
    <w:rsid w:val="00F653F6"/>
    <w:rsid w:val="00F6541B"/>
    <w:rsid w:val="00F654E3"/>
    <w:rsid w:val="00F655BC"/>
    <w:rsid w:val="00F65681"/>
    <w:rsid w:val="00F65734"/>
    <w:rsid w:val="00F657D5"/>
    <w:rsid w:val="00F65842"/>
    <w:rsid w:val="00F65932"/>
    <w:rsid w:val="00F65A4C"/>
    <w:rsid w:val="00F65D5F"/>
    <w:rsid w:val="00F65FC6"/>
    <w:rsid w:val="00F66050"/>
    <w:rsid w:val="00F660EE"/>
    <w:rsid w:val="00F66320"/>
    <w:rsid w:val="00F663BF"/>
    <w:rsid w:val="00F66415"/>
    <w:rsid w:val="00F665FD"/>
    <w:rsid w:val="00F668E1"/>
    <w:rsid w:val="00F6691B"/>
    <w:rsid w:val="00F66A28"/>
    <w:rsid w:val="00F66AD8"/>
    <w:rsid w:val="00F66B75"/>
    <w:rsid w:val="00F66C2E"/>
    <w:rsid w:val="00F66CCD"/>
    <w:rsid w:val="00F66CE3"/>
    <w:rsid w:val="00F66E58"/>
    <w:rsid w:val="00F67004"/>
    <w:rsid w:val="00F67048"/>
    <w:rsid w:val="00F67080"/>
    <w:rsid w:val="00F670AF"/>
    <w:rsid w:val="00F6713B"/>
    <w:rsid w:val="00F6718E"/>
    <w:rsid w:val="00F67263"/>
    <w:rsid w:val="00F672D7"/>
    <w:rsid w:val="00F673F9"/>
    <w:rsid w:val="00F67472"/>
    <w:rsid w:val="00F675E9"/>
    <w:rsid w:val="00F6773C"/>
    <w:rsid w:val="00F677DA"/>
    <w:rsid w:val="00F679B0"/>
    <w:rsid w:val="00F67AF7"/>
    <w:rsid w:val="00F67C53"/>
    <w:rsid w:val="00F67D64"/>
    <w:rsid w:val="00F67DB1"/>
    <w:rsid w:val="00F67E5A"/>
    <w:rsid w:val="00F7009D"/>
    <w:rsid w:val="00F701F4"/>
    <w:rsid w:val="00F70632"/>
    <w:rsid w:val="00F70653"/>
    <w:rsid w:val="00F706F8"/>
    <w:rsid w:val="00F7088E"/>
    <w:rsid w:val="00F7089C"/>
    <w:rsid w:val="00F708E1"/>
    <w:rsid w:val="00F70998"/>
    <w:rsid w:val="00F70D51"/>
    <w:rsid w:val="00F70F2D"/>
    <w:rsid w:val="00F71005"/>
    <w:rsid w:val="00F7103C"/>
    <w:rsid w:val="00F7118E"/>
    <w:rsid w:val="00F711C9"/>
    <w:rsid w:val="00F712EF"/>
    <w:rsid w:val="00F71431"/>
    <w:rsid w:val="00F71482"/>
    <w:rsid w:val="00F71485"/>
    <w:rsid w:val="00F714B3"/>
    <w:rsid w:val="00F715C0"/>
    <w:rsid w:val="00F71626"/>
    <w:rsid w:val="00F716C8"/>
    <w:rsid w:val="00F7190B"/>
    <w:rsid w:val="00F7197D"/>
    <w:rsid w:val="00F71A56"/>
    <w:rsid w:val="00F71C11"/>
    <w:rsid w:val="00F71D38"/>
    <w:rsid w:val="00F71D4A"/>
    <w:rsid w:val="00F71D5F"/>
    <w:rsid w:val="00F71F1F"/>
    <w:rsid w:val="00F71FB7"/>
    <w:rsid w:val="00F721A6"/>
    <w:rsid w:val="00F721C7"/>
    <w:rsid w:val="00F722ED"/>
    <w:rsid w:val="00F7232A"/>
    <w:rsid w:val="00F72485"/>
    <w:rsid w:val="00F725C4"/>
    <w:rsid w:val="00F7262A"/>
    <w:rsid w:val="00F72707"/>
    <w:rsid w:val="00F72781"/>
    <w:rsid w:val="00F728FF"/>
    <w:rsid w:val="00F72D05"/>
    <w:rsid w:val="00F73015"/>
    <w:rsid w:val="00F73092"/>
    <w:rsid w:val="00F7319C"/>
    <w:rsid w:val="00F73211"/>
    <w:rsid w:val="00F7336F"/>
    <w:rsid w:val="00F734DA"/>
    <w:rsid w:val="00F735C5"/>
    <w:rsid w:val="00F73632"/>
    <w:rsid w:val="00F7366B"/>
    <w:rsid w:val="00F73787"/>
    <w:rsid w:val="00F7393D"/>
    <w:rsid w:val="00F73A34"/>
    <w:rsid w:val="00F73A98"/>
    <w:rsid w:val="00F73BC2"/>
    <w:rsid w:val="00F73BD8"/>
    <w:rsid w:val="00F73C51"/>
    <w:rsid w:val="00F73C83"/>
    <w:rsid w:val="00F73CBA"/>
    <w:rsid w:val="00F73E30"/>
    <w:rsid w:val="00F74043"/>
    <w:rsid w:val="00F7408E"/>
    <w:rsid w:val="00F7422F"/>
    <w:rsid w:val="00F7427E"/>
    <w:rsid w:val="00F74328"/>
    <w:rsid w:val="00F7468E"/>
    <w:rsid w:val="00F7470D"/>
    <w:rsid w:val="00F74926"/>
    <w:rsid w:val="00F74979"/>
    <w:rsid w:val="00F74ABE"/>
    <w:rsid w:val="00F74AD9"/>
    <w:rsid w:val="00F74C2A"/>
    <w:rsid w:val="00F74C88"/>
    <w:rsid w:val="00F74D1A"/>
    <w:rsid w:val="00F74F94"/>
    <w:rsid w:val="00F74FA5"/>
    <w:rsid w:val="00F74FEF"/>
    <w:rsid w:val="00F751BE"/>
    <w:rsid w:val="00F752C1"/>
    <w:rsid w:val="00F754D1"/>
    <w:rsid w:val="00F7554B"/>
    <w:rsid w:val="00F75566"/>
    <w:rsid w:val="00F757AE"/>
    <w:rsid w:val="00F75A36"/>
    <w:rsid w:val="00F75B19"/>
    <w:rsid w:val="00F75C83"/>
    <w:rsid w:val="00F75CF1"/>
    <w:rsid w:val="00F75CFF"/>
    <w:rsid w:val="00F75D8D"/>
    <w:rsid w:val="00F7627D"/>
    <w:rsid w:val="00F76519"/>
    <w:rsid w:val="00F76594"/>
    <w:rsid w:val="00F765C3"/>
    <w:rsid w:val="00F7669D"/>
    <w:rsid w:val="00F7684B"/>
    <w:rsid w:val="00F768CC"/>
    <w:rsid w:val="00F76A06"/>
    <w:rsid w:val="00F76E42"/>
    <w:rsid w:val="00F76E8B"/>
    <w:rsid w:val="00F772C7"/>
    <w:rsid w:val="00F773BA"/>
    <w:rsid w:val="00F77589"/>
    <w:rsid w:val="00F77775"/>
    <w:rsid w:val="00F777F9"/>
    <w:rsid w:val="00F77928"/>
    <w:rsid w:val="00F7796D"/>
    <w:rsid w:val="00F77DAC"/>
    <w:rsid w:val="00F77DC6"/>
    <w:rsid w:val="00F77E04"/>
    <w:rsid w:val="00F77E1C"/>
    <w:rsid w:val="00F77F6D"/>
    <w:rsid w:val="00F8000E"/>
    <w:rsid w:val="00F80017"/>
    <w:rsid w:val="00F8005E"/>
    <w:rsid w:val="00F80080"/>
    <w:rsid w:val="00F803F1"/>
    <w:rsid w:val="00F80426"/>
    <w:rsid w:val="00F80456"/>
    <w:rsid w:val="00F805B0"/>
    <w:rsid w:val="00F8067A"/>
    <w:rsid w:val="00F8068D"/>
    <w:rsid w:val="00F80822"/>
    <w:rsid w:val="00F80931"/>
    <w:rsid w:val="00F80934"/>
    <w:rsid w:val="00F809F5"/>
    <w:rsid w:val="00F80A51"/>
    <w:rsid w:val="00F80AAB"/>
    <w:rsid w:val="00F80AB1"/>
    <w:rsid w:val="00F80AD7"/>
    <w:rsid w:val="00F80C92"/>
    <w:rsid w:val="00F80D16"/>
    <w:rsid w:val="00F80E20"/>
    <w:rsid w:val="00F80E52"/>
    <w:rsid w:val="00F80EBF"/>
    <w:rsid w:val="00F8112B"/>
    <w:rsid w:val="00F811B2"/>
    <w:rsid w:val="00F81255"/>
    <w:rsid w:val="00F813F5"/>
    <w:rsid w:val="00F81405"/>
    <w:rsid w:val="00F815A5"/>
    <w:rsid w:val="00F819F9"/>
    <w:rsid w:val="00F81A85"/>
    <w:rsid w:val="00F81ACC"/>
    <w:rsid w:val="00F81C75"/>
    <w:rsid w:val="00F81C77"/>
    <w:rsid w:val="00F81E3E"/>
    <w:rsid w:val="00F81E98"/>
    <w:rsid w:val="00F81FC0"/>
    <w:rsid w:val="00F81FDF"/>
    <w:rsid w:val="00F820D7"/>
    <w:rsid w:val="00F822A9"/>
    <w:rsid w:val="00F82450"/>
    <w:rsid w:val="00F82634"/>
    <w:rsid w:val="00F82C24"/>
    <w:rsid w:val="00F82E4D"/>
    <w:rsid w:val="00F82E50"/>
    <w:rsid w:val="00F82EBE"/>
    <w:rsid w:val="00F83028"/>
    <w:rsid w:val="00F8305E"/>
    <w:rsid w:val="00F83097"/>
    <w:rsid w:val="00F830A1"/>
    <w:rsid w:val="00F83126"/>
    <w:rsid w:val="00F83414"/>
    <w:rsid w:val="00F83472"/>
    <w:rsid w:val="00F83504"/>
    <w:rsid w:val="00F8369B"/>
    <w:rsid w:val="00F8377B"/>
    <w:rsid w:val="00F83833"/>
    <w:rsid w:val="00F83871"/>
    <w:rsid w:val="00F839BB"/>
    <w:rsid w:val="00F83B99"/>
    <w:rsid w:val="00F83C9C"/>
    <w:rsid w:val="00F83DF9"/>
    <w:rsid w:val="00F83E9C"/>
    <w:rsid w:val="00F841B3"/>
    <w:rsid w:val="00F843B9"/>
    <w:rsid w:val="00F84471"/>
    <w:rsid w:val="00F846DC"/>
    <w:rsid w:val="00F84701"/>
    <w:rsid w:val="00F8474D"/>
    <w:rsid w:val="00F848E9"/>
    <w:rsid w:val="00F848F6"/>
    <w:rsid w:val="00F8491A"/>
    <w:rsid w:val="00F849D4"/>
    <w:rsid w:val="00F849D8"/>
    <w:rsid w:val="00F84A37"/>
    <w:rsid w:val="00F84B9F"/>
    <w:rsid w:val="00F84BE3"/>
    <w:rsid w:val="00F84E93"/>
    <w:rsid w:val="00F84FEC"/>
    <w:rsid w:val="00F85003"/>
    <w:rsid w:val="00F85146"/>
    <w:rsid w:val="00F85154"/>
    <w:rsid w:val="00F852D1"/>
    <w:rsid w:val="00F852ED"/>
    <w:rsid w:val="00F85649"/>
    <w:rsid w:val="00F85699"/>
    <w:rsid w:val="00F8583A"/>
    <w:rsid w:val="00F85844"/>
    <w:rsid w:val="00F8585E"/>
    <w:rsid w:val="00F858C7"/>
    <w:rsid w:val="00F858E6"/>
    <w:rsid w:val="00F85A25"/>
    <w:rsid w:val="00F85AB7"/>
    <w:rsid w:val="00F85B88"/>
    <w:rsid w:val="00F85D26"/>
    <w:rsid w:val="00F85FF5"/>
    <w:rsid w:val="00F8600B"/>
    <w:rsid w:val="00F862E9"/>
    <w:rsid w:val="00F8631D"/>
    <w:rsid w:val="00F86346"/>
    <w:rsid w:val="00F863EE"/>
    <w:rsid w:val="00F86443"/>
    <w:rsid w:val="00F86633"/>
    <w:rsid w:val="00F86642"/>
    <w:rsid w:val="00F868B1"/>
    <w:rsid w:val="00F86B7E"/>
    <w:rsid w:val="00F86D62"/>
    <w:rsid w:val="00F86D9C"/>
    <w:rsid w:val="00F86E50"/>
    <w:rsid w:val="00F86ED3"/>
    <w:rsid w:val="00F86F25"/>
    <w:rsid w:val="00F8701A"/>
    <w:rsid w:val="00F87069"/>
    <w:rsid w:val="00F870DC"/>
    <w:rsid w:val="00F870E3"/>
    <w:rsid w:val="00F874CB"/>
    <w:rsid w:val="00F87519"/>
    <w:rsid w:val="00F875A1"/>
    <w:rsid w:val="00F8765B"/>
    <w:rsid w:val="00F8786F"/>
    <w:rsid w:val="00F87D40"/>
    <w:rsid w:val="00F87DEC"/>
    <w:rsid w:val="00F87E0C"/>
    <w:rsid w:val="00F87F45"/>
    <w:rsid w:val="00F90174"/>
    <w:rsid w:val="00F9017B"/>
    <w:rsid w:val="00F902A9"/>
    <w:rsid w:val="00F902DE"/>
    <w:rsid w:val="00F9051E"/>
    <w:rsid w:val="00F9059B"/>
    <w:rsid w:val="00F905B1"/>
    <w:rsid w:val="00F905D0"/>
    <w:rsid w:val="00F9070E"/>
    <w:rsid w:val="00F90930"/>
    <w:rsid w:val="00F90AF7"/>
    <w:rsid w:val="00F90B19"/>
    <w:rsid w:val="00F90B38"/>
    <w:rsid w:val="00F90B80"/>
    <w:rsid w:val="00F90D7B"/>
    <w:rsid w:val="00F90F6D"/>
    <w:rsid w:val="00F90F96"/>
    <w:rsid w:val="00F91009"/>
    <w:rsid w:val="00F9107C"/>
    <w:rsid w:val="00F910F4"/>
    <w:rsid w:val="00F91157"/>
    <w:rsid w:val="00F911E8"/>
    <w:rsid w:val="00F911EF"/>
    <w:rsid w:val="00F91419"/>
    <w:rsid w:val="00F91599"/>
    <w:rsid w:val="00F915D0"/>
    <w:rsid w:val="00F9166E"/>
    <w:rsid w:val="00F919BA"/>
    <w:rsid w:val="00F91ADE"/>
    <w:rsid w:val="00F91BCB"/>
    <w:rsid w:val="00F91DC7"/>
    <w:rsid w:val="00F91E59"/>
    <w:rsid w:val="00F9200A"/>
    <w:rsid w:val="00F92099"/>
    <w:rsid w:val="00F920EE"/>
    <w:rsid w:val="00F92184"/>
    <w:rsid w:val="00F921CF"/>
    <w:rsid w:val="00F92323"/>
    <w:rsid w:val="00F92505"/>
    <w:rsid w:val="00F92530"/>
    <w:rsid w:val="00F92588"/>
    <w:rsid w:val="00F925F2"/>
    <w:rsid w:val="00F92698"/>
    <w:rsid w:val="00F92B79"/>
    <w:rsid w:val="00F92BD9"/>
    <w:rsid w:val="00F92C46"/>
    <w:rsid w:val="00F92D55"/>
    <w:rsid w:val="00F92DD5"/>
    <w:rsid w:val="00F92F03"/>
    <w:rsid w:val="00F92F2A"/>
    <w:rsid w:val="00F92F6B"/>
    <w:rsid w:val="00F93006"/>
    <w:rsid w:val="00F93040"/>
    <w:rsid w:val="00F931F2"/>
    <w:rsid w:val="00F9329B"/>
    <w:rsid w:val="00F932F6"/>
    <w:rsid w:val="00F93316"/>
    <w:rsid w:val="00F934B1"/>
    <w:rsid w:val="00F934D2"/>
    <w:rsid w:val="00F93503"/>
    <w:rsid w:val="00F93734"/>
    <w:rsid w:val="00F9376C"/>
    <w:rsid w:val="00F9394A"/>
    <w:rsid w:val="00F9397B"/>
    <w:rsid w:val="00F93A6F"/>
    <w:rsid w:val="00F93B28"/>
    <w:rsid w:val="00F93CB1"/>
    <w:rsid w:val="00F93D61"/>
    <w:rsid w:val="00F93E9F"/>
    <w:rsid w:val="00F93F05"/>
    <w:rsid w:val="00F93F97"/>
    <w:rsid w:val="00F9407B"/>
    <w:rsid w:val="00F94199"/>
    <w:rsid w:val="00F9420C"/>
    <w:rsid w:val="00F94239"/>
    <w:rsid w:val="00F94388"/>
    <w:rsid w:val="00F943E7"/>
    <w:rsid w:val="00F94687"/>
    <w:rsid w:val="00F94785"/>
    <w:rsid w:val="00F949D7"/>
    <w:rsid w:val="00F94A9D"/>
    <w:rsid w:val="00F94B4D"/>
    <w:rsid w:val="00F94B86"/>
    <w:rsid w:val="00F94DB3"/>
    <w:rsid w:val="00F94E87"/>
    <w:rsid w:val="00F9506B"/>
    <w:rsid w:val="00F9508C"/>
    <w:rsid w:val="00F952A7"/>
    <w:rsid w:val="00F95319"/>
    <w:rsid w:val="00F95348"/>
    <w:rsid w:val="00F95396"/>
    <w:rsid w:val="00F953D5"/>
    <w:rsid w:val="00F95415"/>
    <w:rsid w:val="00F9576B"/>
    <w:rsid w:val="00F957B3"/>
    <w:rsid w:val="00F95A60"/>
    <w:rsid w:val="00F95A84"/>
    <w:rsid w:val="00F95D91"/>
    <w:rsid w:val="00F95E6A"/>
    <w:rsid w:val="00F961E7"/>
    <w:rsid w:val="00F961ED"/>
    <w:rsid w:val="00F963D9"/>
    <w:rsid w:val="00F9642A"/>
    <w:rsid w:val="00F96539"/>
    <w:rsid w:val="00F96578"/>
    <w:rsid w:val="00F965E9"/>
    <w:rsid w:val="00F96639"/>
    <w:rsid w:val="00F966C8"/>
    <w:rsid w:val="00F967DD"/>
    <w:rsid w:val="00F9684D"/>
    <w:rsid w:val="00F96890"/>
    <w:rsid w:val="00F96A1D"/>
    <w:rsid w:val="00F96BB9"/>
    <w:rsid w:val="00F96DB6"/>
    <w:rsid w:val="00F96DDB"/>
    <w:rsid w:val="00F96F33"/>
    <w:rsid w:val="00F970B5"/>
    <w:rsid w:val="00F97196"/>
    <w:rsid w:val="00F971B6"/>
    <w:rsid w:val="00F971BE"/>
    <w:rsid w:val="00F97295"/>
    <w:rsid w:val="00F97313"/>
    <w:rsid w:val="00F97385"/>
    <w:rsid w:val="00F97463"/>
    <w:rsid w:val="00F97609"/>
    <w:rsid w:val="00F9760E"/>
    <w:rsid w:val="00F9761F"/>
    <w:rsid w:val="00F97833"/>
    <w:rsid w:val="00F97950"/>
    <w:rsid w:val="00F979A7"/>
    <w:rsid w:val="00F97BBB"/>
    <w:rsid w:val="00F97D76"/>
    <w:rsid w:val="00F97EE9"/>
    <w:rsid w:val="00F97FC7"/>
    <w:rsid w:val="00FA008E"/>
    <w:rsid w:val="00FA00D8"/>
    <w:rsid w:val="00FA0137"/>
    <w:rsid w:val="00FA0178"/>
    <w:rsid w:val="00FA0191"/>
    <w:rsid w:val="00FA026F"/>
    <w:rsid w:val="00FA0334"/>
    <w:rsid w:val="00FA0374"/>
    <w:rsid w:val="00FA03E9"/>
    <w:rsid w:val="00FA0499"/>
    <w:rsid w:val="00FA078C"/>
    <w:rsid w:val="00FA0808"/>
    <w:rsid w:val="00FA0936"/>
    <w:rsid w:val="00FA0A42"/>
    <w:rsid w:val="00FA0AC3"/>
    <w:rsid w:val="00FA0AD9"/>
    <w:rsid w:val="00FA0BA5"/>
    <w:rsid w:val="00FA0C4C"/>
    <w:rsid w:val="00FA0DC0"/>
    <w:rsid w:val="00FA0EE9"/>
    <w:rsid w:val="00FA0F55"/>
    <w:rsid w:val="00FA1015"/>
    <w:rsid w:val="00FA1188"/>
    <w:rsid w:val="00FA151C"/>
    <w:rsid w:val="00FA152C"/>
    <w:rsid w:val="00FA1539"/>
    <w:rsid w:val="00FA1565"/>
    <w:rsid w:val="00FA161B"/>
    <w:rsid w:val="00FA16C2"/>
    <w:rsid w:val="00FA187C"/>
    <w:rsid w:val="00FA18AF"/>
    <w:rsid w:val="00FA1961"/>
    <w:rsid w:val="00FA198C"/>
    <w:rsid w:val="00FA1A1B"/>
    <w:rsid w:val="00FA1A67"/>
    <w:rsid w:val="00FA1B15"/>
    <w:rsid w:val="00FA1B27"/>
    <w:rsid w:val="00FA1B89"/>
    <w:rsid w:val="00FA1C59"/>
    <w:rsid w:val="00FA1C88"/>
    <w:rsid w:val="00FA1D1A"/>
    <w:rsid w:val="00FA1DD6"/>
    <w:rsid w:val="00FA1E28"/>
    <w:rsid w:val="00FA1E62"/>
    <w:rsid w:val="00FA1E83"/>
    <w:rsid w:val="00FA1EE2"/>
    <w:rsid w:val="00FA2076"/>
    <w:rsid w:val="00FA20B8"/>
    <w:rsid w:val="00FA2108"/>
    <w:rsid w:val="00FA227D"/>
    <w:rsid w:val="00FA22B2"/>
    <w:rsid w:val="00FA237E"/>
    <w:rsid w:val="00FA2399"/>
    <w:rsid w:val="00FA2784"/>
    <w:rsid w:val="00FA27AF"/>
    <w:rsid w:val="00FA289F"/>
    <w:rsid w:val="00FA2958"/>
    <w:rsid w:val="00FA2A1E"/>
    <w:rsid w:val="00FA2B4B"/>
    <w:rsid w:val="00FA2B55"/>
    <w:rsid w:val="00FA2B66"/>
    <w:rsid w:val="00FA2B82"/>
    <w:rsid w:val="00FA2C78"/>
    <w:rsid w:val="00FA2CE8"/>
    <w:rsid w:val="00FA2E84"/>
    <w:rsid w:val="00FA2F81"/>
    <w:rsid w:val="00FA3101"/>
    <w:rsid w:val="00FA31B3"/>
    <w:rsid w:val="00FA31F1"/>
    <w:rsid w:val="00FA325C"/>
    <w:rsid w:val="00FA3367"/>
    <w:rsid w:val="00FA34BA"/>
    <w:rsid w:val="00FA3776"/>
    <w:rsid w:val="00FA3831"/>
    <w:rsid w:val="00FA38A6"/>
    <w:rsid w:val="00FA38C8"/>
    <w:rsid w:val="00FA3AAC"/>
    <w:rsid w:val="00FA3B0D"/>
    <w:rsid w:val="00FA3BA1"/>
    <w:rsid w:val="00FA3BDA"/>
    <w:rsid w:val="00FA3D98"/>
    <w:rsid w:val="00FA3D9B"/>
    <w:rsid w:val="00FA3DAB"/>
    <w:rsid w:val="00FA3F9C"/>
    <w:rsid w:val="00FA4145"/>
    <w:rsid w:val="00FA42F2"/>
    <w:rsid w:val="00FA43BB"/>
    <w:rsid w:val="00FA441D"/>
    <w:rsid w:val="00FA450F"/>
    <w:rsid w:val="00FA4539"/>
    <w:rsid w:val="00FA4704"/>
    <w:rsid w:val="00FA48B9"/>
    <w:rsid w:val="00FA4A81"/>
    <w:rsid w:val="00FA4B24"/>
    <w:rsid w:val="00FA4B2F"/>
    <w:rsid w:val="00FA4BCD"/>
    <w:rsid w:val="00FA4C40"/>
    <w:rsid w:val="00FA4F2F"/>
    <w:rsid w:val="00FA50DF"/>
    <w:rsid w:val="00FA5107"/>
    <w:rsid w:val="00FA510D"/>
    <w:rsid w:val="00FA51C4"/>
    <w:rsid w:val="00FA5306"/>
    <w:rsid w:val="00FA53BA"/>
    <w:rsid w:val="00FA53EB"/>
    <w:rsid w:val="00FA54D2"/>
    <w:rsid w:val="00FA5517"/>
    <w:rsid w:val="00FA55D0"/>
    <w:rsid w:val="00FA581F"/>
    <w:rsid w:val="00FA5937"/>
    <w:rsid w:val="00FA59DD"/>
    <w:rsid w:val="00FA59EC"/>
    <w:rsid w:val="00FA5A77"/>
    <w:rsid w:val="00FA5B24"/>
    <w:rsid w:val="00FA5D75"/>
    <w:rsid w:val="00FA5E52"/>
    <w:rsid w:val="00FA5ED2"/>
    <w:rsid w:val="00FA5F26"/>
    <w:rsid w:val="00FA5F52"/>
    <w:rsid w:val="00FA5FA6"/>
    <w:rsid w:val="00FA612E"/>
    <w:rsid w:val="00FA6196"/>
    <w:rsid w:val="00FA61AF"/>
    <w:rsid w:val="00FA6201"/>
    <w:rsid w:val="00FA6244"/>
    <w:rsid w:val="00FA62EE"/>
    <w:rsid w:val="00FA6384"/>
    <w:rsid w:val="00FA6475"/>
    <w:rsid w:val="00FA6536"/>
    <w:rsid w:val="00FA655B"/>
    <w:rsid w:val="00FA65C2"/>
    <w:rsid w:val="00FA6640"/>
    <w:rsid w:val="00FA672D"/>
    <w:rsid w:val="00FA67CC"/>
    <w:rsid w:val="00FA696B"/>
    <w:rsid w:val="00FA6A0D"/>
    <w:rsid w:val="00FA6AF9"/>
    <w:rsid w:val="00FA6B8C"/>
    <w:rsid w:val="00FA6BCC"/>
    <w:rsid w:val="00FA6BFC"/>
    <w:rsid w:val="00FA6CC6"/>
    <w:rsid w:val="00FA6E62"/>
    <w:rsid w:val="00FA6ED8"/>
    <w:rsid w:val="00FA703E"/>
    <w:rsid w:val="00FA705D"/>
    <w:rsid w:val="00FA7072"/>
    <w:rsid w:val="00FA7081"/>
    <w:rsid w:val="00FA70A6"/>
    <w:rsid w:val="00FA7151"/>
    <w:rsid w:val="00FA727E"/>
    <w:rsid w:val="00FA72A1"/>
    <w:rsid w:val="00FA75FA"/>
    <w:rsid w:val="00FA7739"/>
    <w:rsid w:val="00FA77F1"/>
    <w:rsid w:val="00FA785D"/>
    <w:rsid w:val="00FA7903"/>
    <w:rsid w:val="00FA7C24"/>
    <w:rsid w:val="00FA7C78"/>
    <w:rsid w:val="00FA7DD7"/>
    <w:rsid w:val="00FA7F98"/>
    <w:rsid w:val="00FB00A5"/>
    <w:rsid w:val="00FB00AA"/>
    <w:rsid w:val="00FB01A0"/>
    <w:rsid w:val="00FB01CC"/>
    <w:rsid w:val="00FB01E0"/>
    <w:rsid w:val="00FB0552"/>
    <w:rsid w:val="00FB078D"/>
    <w:rsid w:val="00FB0833"/>
    <w:rsid w:val="00FB08BF"/>
    <w:rsid w:val="00FB0A06"/>
    <w:rsid w:val="00FB0B30"/>
    <w:rsid w:val="00FB0B57"/>
    <w:rsid w:val="00FB0B92"/>
    <w:rsid w:val="00FB0CD1"/>
    <w:rsid w:val="00FB0DCC"/>
    <w:rsid w:val="00FB0DD3"/>
    <w:rsid w:val="00FB0FE6"/>
    <w:rsid w:val="00FB11B2"/>
    <w:rsid w:val="00FB11C3"/>
    <w:rsid w:val="00FB11CB"/>
    <w:rsid w:val="00FB1212"/>
    <w:rsid w:val="00FB158D"/>
    <w:rsid w:val="00FB16CB"/>
    <w:rsid w:val="00FB1795"/>
    <w:rsid w:val="00FB188F"/>
    <w:rsid w:val="00FB1917"/>
    <w:rsid w:val="00FB191E"/>
    <w:rsid w:val="00FB1ACD"/>
    <w:rsid w:val="00FB1B20"/>
    <w:rsid w:val="00FB1BA5"/>
    <w:rsid w:val="00FB1DF8"/>
    <w:rsid w:val="00FB1E88"/>
    <w:rsid w:val="00FB1F24"/>
    <w:rsid w:val="00FB2031"/>
    <w:rsid w:val="00FB232E"/>
    <w:rsid w:val="00FB243D"/>
    <w:rsid w:val="00FB253A"/>
    <w:rsid w:val="00FB25F2"/>
    <w:rsid w:val="00FB2660"/>
    <w:rsid w:val="00FB26EA"/>
    <w:rsid w:val="00FB286A"/>
    <w:rsid w:val="00FB2898"/>
    <w:rsid w:val="00FB29C4"/>
    <w:rsid w:val="00FB2BBF"/>
    <w:rsid w:val="00FB2BE4"/>
    <w:rsid w:val="00FB2D91"/>
    <w:rsid w:val="00FB2DC3"/>
    <w:rsid w:val="00FB2DF5"/>
    <w:rsid w:val="00FB2EA6"/>
    <w:rsid w:val="00FB3067"/>
    <w:rsid w:val="00FB3370"/>
    <w:rsid w:val="00FB35FD"/>
    <w:rsid w:val="00FB3601"/>
    <w:rsid w:val="00FB3629"/>
    <w:rsid w:val="00FB365C"/>
    <w:rsid w:val="00FB370C"/>
    <w:rsid w:val="00FB3831"/>
    <w:rsid w:val="00FB39AE"/>
    <w:rsid w:val="00FB3A5C"/>
    <w:rsid w:val="00FB3B29"/>
    <w:rsid w:val="00FB3B77"/>
    <w:rsid w:val="00FB3D00"/>
    <w:rsid w:val="00FB3DF6"/>
    <w:rsid w:val="00FB3F95"/>
    <w:rsid w:val="00FB407C"/>
    <w:rsid w:val="00FB4151"/>
    <w:rsid w:val="00FB41D5"/>
    <w:rsid w:val="00FB448A"/>
    <w:rsid w:val="00FB4553"/>
    <w:rsid w:val="00FB459E"/>
    <w:rsid w:val="00FB4779"/>
    <w:rsid w:val="00FB479B"/>
    <w:rsid w:val="00FB4A10"/>
    <w:rsid w:val="00FB4A31"/>
    <w:rsid w:val="00FB4DBF"/>
    <w:rsid w:val="00FB4F65"/>
    <w:rsid w:val="00FB51E0"/>
    <w:rsid w:val="00FB52BA"/>
    <w:rsid w:val="00FB536A"/>
    <w:rsid w:val="00FB5538"/>
    <w:rsid w:val="00FB5564"/>
    <w:rsid w:val="00FB558B"/>
    <w:rsid w:val="00FB56EA"/>
    <w:rsid w:val="00FB56EE"/>
    <w:rsid w:val="00FB57AB"/>
    <w:rsid w:val="00FB584E"/>
    <w:rsid w:val="00FB5AED"/>
    <w:rsid w:val="00FB5AFC"/>
    <w:rsid w:val="00FB5B06"/>
    <w:rsid w:val="00FB5D37"/>
    <w:rsid w:val="00FB5E21"/>
    <w:rsid w:val="00FB5F37"/>
    <w:rsid w:val="00FB6042"/>
    <w:rsid w:val="00FB6302"/>
    <w:rsid w:val="00FB65AD"/>
    <w:rsid w:val="00FB65CE"/>
    <w:rsid w:val="00FB698E"/>
    <w:rsid w:val="00FB6A11"/>
    <w:rsid w:val="00FB6C1D"/>
    <w:rsid w:val="00FB6C5F"/>
    <w:rsid w:val="00FB6CF0"/>
    <w:rsid w:val="00FB6F39"/>
    <w:rsid w:val="00FB6FCC"/>
    <w:rsid w:val="00FB7047"/>
    <w:rsid w:val="00FB7060"/>
    <w:rsid w:val="00FB7094"/>
    <w:rsid w:val="00FB7545"/>
    <w:rsid w:val="00FB7751"/>
    <w:rsid w:val="00FB796D"/>
    <w:rsid w:val="00FB7B3B"/>
    <w:rsid w:val="00FB7BBE"/>
    <w:rsid w:val="00FB7BEF"/>
    <w:rsid w:val="00FB7C10"/>
    <w:rsid w:val="00FB7C46"/>
    <w:rsid w:val="00FB7CE4"/>
    <w:rsid w:val="00FB7D46"/>
    <w:rsid w:val="00FB7EED"/>
    <w:rsid w:val="00FB7EFE"/>
    <w:rsid w:val="00FB7F3B"/>
    <w:rsid w:val="00FC0016"/>
    <w:rsid w:val="00FC0127"/>
    <w:rsid w:val="00FC01C7"/>
    <w:rsid w:val="00FC03BA"/>
    <w:rsid w:val="00FC0449"/>
    <w:rsid w:val="00FC0486"/>
    <w:rsid w:val="00FC0745"/>
    <w:rsid w:val="00FC07E5"/>
    <w:rsid w:val="00FC07F6"/>
    <w:rsid w:val="00FC09DC"/>
    <w:rsid w:val="00FC0C3F"/>
    <w:rsid w:val="00FC0C5C"/>
    <w:rsid w:val="00FC0D2C"/>
    <w:rsid w:val="00FC0F87"/>
    <w:rsid w:val="00FC0F90"/>
    <w:rsid w:val="00FC0FD5"/>
    <w:rsid w:val="00FC112E"/>
    <w:rsid w:val="00FC113A"/>
    <w:rsid w:val="00FC1182"/>
    <w:rsid w:val="00FC1191"/>
    <w:rsid w:val="00FC1289"/>
    <w:rsid w:val="00FC12E9"/>
    <w:rsid w:val="00FC12FF"/>
    <w:rsid w:val="00FC1348"/>
    <w:rsid w:val="00FC1452"/>
    <w:rsid w:val="00FC1500"/>
    <w:rsid w:val="00FC167D"/>
    <w:rsid w:val="00FC1682"/>
    <w:rsid w:val="00FC1780"/>
    <w:rsid w:val="00FC1938"/>
    <w:rsid w:val="00FC1B66"/>
    <w:rsid w:val="00FC1B89"/>
    <w:rsid w:val="00FC1C30"/>
    <w:rsid w:val="00FC2017"/>
    <w:rsid w:val="00FC20DD"/>
    <w:rsid w:val="00FC2315"/>
    <w:rsid w:val="00FC2462"/>
    <w:rsid w:val="00FC2477"/>
    <w:rsid w:val="00FC249D"/>
    <w:rsid w:val="00FC24EA"/>
    <w:rsid w:val="00FC2548"/>
    <w:rsid w:val="00FC27DA"/>
    <w:rsid w:val="00FC2877"/>
    <w:rsid w:val="00FC2989"/>
    <w:rsid w:val="00FC2A1D"/>
    <w:rsid w:val="00FC2B0E"/>
    <w:rsid w:val="00FC2B5C"/>
    <w:rsid w:val="00FC2BF7"/>
    <w:rsid w:val="00FC2C01"/>
    <w:rsid w:val="00FC321D"/>
    <w:rsid w:val="00FC3228"/>
    <w:rsid w:val="00FC322E"/>
    <w:rsid w:val="00FC32EF"/>
    <w:rsid w:val="00FC3374"/>
    <w:rsid w:val="00FC353F"/>
    <w:rsid w:val="00FC36D8"/>
    <w:rsid w:val="00FC3762"/>
    <w:rsid w:val="00FC3893"/>
    <w:rsid w:val="00FC392C"/>
    <w:rsid w:val="00FC3941"/>
    <w:rsid w:val="00FC3AE9"/>
    <w:rsid w:val="00FC3B09"/>
    <w:rsid w:val="00FC3B56"/>
    <w:rsid w:val="00FC3BD8"/>
    <w:rsid w:val="00FC3C0E"/>
    <w:rsid w:val="00FC3E7D"/>
    <w:rsid w:val="00FC40AB"/>
    <w:rsid w:val="00FC40C2"/>
    <w:rsid w:val="00FC413B"/>
    <w:rsid w:val="00FC41DB"/>
    <w:rsid w:val="00FC4239"/>
    <w:rsid w:val="00FC4247"/>
    <w:rsid w:val="00FC4268"/>
    <w:rsid w:val="00FC42D4"/>
    <w:rsid w:val="00FC4493"/>
    <w:rsid w:val="00FC44E9"/>
    <w:rsid w:val="00FC457E"/>
    <w:rsid w:val="00FC460C"/>
    <w:rsid w:val="00FC46B4"/>
    <w:rsid w:val="00FC4714"/>
    <w:rsid w:val="00FC4849"/>
    <w:rsid w:val="00FC4A12"/>
    <w:rsid w:val="00FC4AEB"/>
    <w:rsid w:val="00FC4C08"/>
    <w:rsid w:val="00FC4CF3"/>
    <w:rsid w:val="00FC4DD9"/>
    <w:rsid w:val="00FC4DE2"/>
    <w:rsid w:val="00FC4EAF"/>
    <w:rsid w:val="00FC4EF7"/>
    <w:rsid w:val="00FC4F47"/>
    <w:rsid w:val="00FC4F78"/>
    <w:rsid w:val="00FC5384"/>
    <w:rsid w:val="00FC55D5"/>
    <w:rsid w:val="00FC5638"/>
    <w:rsid w:val="00FC5848"/>
    <w:rsid w:val="00FC5977"/>
    <w:rsid w:val="00FC59F5"/>
    <w:rsid w:val="00FC5AA3"/>
    <w:rsid w:val="00FC5B93"/>
    <w:rsid w:val="00FC5BA1"/>
    <w:rsid w:val="00FC5C57"/>
    <w:rsid w:val="00FC5EE1"/>
    <w:rsid w:val="00FC631C"/>
    <w:rsid w:val="00FC633B"/>
    <w:rsid w:val="00FC6538"/>
    <w:rsid w:val="00FC6719"/>
    <w:rsid w:val="00FC6961"/>
    <w:rsid w:val="00FC69F6"/>
    <w:rsid w:val="00FC6AB3"/>
    <w:rsid w:val="00FC6AF6"/>
    <w:rsid w:val="00FC6B20"/>
    <w:rsid w:val="00FC6D39"/>
    <w:rsid w:val="00FC6D50"/>
    <w:rsid w:val="00FC7008"/>
    <w:rsid w:val="00FC7111"/>
    <w:rsid w:val="00FC75E4"/>
    <w:rsid w:val="00FC7781"/>
    <w:rsid w:val="00FC7784"/>
    <w:rsid w:val="00FC783D"/>
    <w:rsid w:val="00FC78C6"/>
    <w:rsid w:val="00FC7955"/>
    <w:rsid w:val="00FC7A1D"/>
    <w:rsid w:val="00FC7B76"/>
    <w:rsid w:val="00FC7BEA"/>
    <w:rsid w:val="00FC7C6F"/>
    <w:rsid w:val="00FC7DE3"/>
    <w:rsid w:val="00FC7E3E"/>
    <w:rsid w:val="00FD005A"/>
    <w:rsid w:val="00FD0142"/>
    <w:rsid w:val="00FD015D"/>
    <w:rsid w:val="00FD01B0"/>
    <w:rsid w:val="00FD0737"/>
    <w:rsid w:val="00FD073C"/>
    <w:rsid w:val="00FD0880"/>
    <w:rsid w:val="00FD0BE9"/>
    <w:rsid w:val="00FD0CE5"/>
    <w:rsid w:val="00FD0DD0"/>
    <w:rsid w:val="00FD0F3F"/>
    <w:rsid w:val="00FD11E4"/>
    <w:rsid w:val="00FD121B"/>
    <w:rsid w:val="00FD143C"/>
    <w:rsid w:val="00FD16C1"/>
    <w:rsid w:val="00FD1783"/>
    <w:rsid w:val="00FD193C"/>
    <w:rsid w:val="00FD1B80"/>
    <w:rsid w:val="00FD1BDE"/>
    <w:rsid w:val="00FD1D38"/>
    <w:rsid w:val="00FD1DE7"/>
    <w:rsid w:val="00FD1F24"/>
    <w:rsid w:val="00FD1F5F"/>
    <w:rsid w:val="00FD2159"/>
    <w:rsid w:val="00FD21ED"/>
    <w:rsid w:val="00FD22B8"/>
    <w:rsid w:val="00FD25B6"/>
    <w:rsid w:val="00FD27F8"/>
    <w:rsid w:val="00FD2A1C"/>
    <w:rsid w:val="00FD2C8F"/>
    <w:rsid w:val="00FD2D85"/>
    <w:rsid w:val="00FD2D93"/>
    <w:rsid w:val="00FD303F"/>
    <w:rsid w:val="00FD3293"/>
    <w:rsid w:val="00FD342B"/>
    <w:rsid w:val="00FD3533"/>
    <w:rsid w:val="00FD3671"/>
    <w:rsid w:val="00FD36A8"/>
    <w:rsid w:val="00FD37FA"/>
    <w:rsid w:val="00FD385A"/>
    <w:rsid w:val="00FD385E"/>
    <w:rsid w:val="00FD3A07"/>
    <w:rsid w:val="00FD3AFC"/>
    <w:rsid w:val="00FD3C45"/>
    <w:rsid w:val="00FD3CBA"/>
    <w:rsid w:val="00FD3D3F"/>
    <w:rsid w:val="00FD3DB7"/>
    <w:rsid w:val="00FD3E2E"/>
    <w:rsid w:val="00FD3F88"/>
    <w:rsid w:val="00FD3FB9"/>
    <w:rsid w:val="00FD4002"/>
    <w:rsid w:val="00FD4007"/>
    <w:rsid w:val="00FD403E"/>
    <w:rsid w:val="00FD40A7"/>
    <w:rsid w:val="00FD425D"/>
    <w:rsid w:val="00FD4307"/>
    <w:rsid w:val="00FD437C"/>
    <w:rsid w:val="00FD447B"/>
    <w:rsid w:val="00FD4531"/>
    <w:rsid w:val="00FD4569"/>
    <w:rsid w:val="00FD461E"/>
    <w:rsid w:val="00FD472E"/>
    <w:rsid w:val="00FD47A3"/>
    <w:rsid w:val="00FD4830"/>
    <w:rsid w:val="00FD4846"/>
    <w:rsid w:val="00FD49AD"/>
    <w:rsid w:val="00FD49D4"/>
    <w:rsid w:val="00FD4ADC"/>
    <w:rsid w:val="00FD4C04"/>
    <w:rsid w:val="00FD4CB8"/>
    <w:rsid w:val="00FD4CF0"/>
    <w:rsid w:val="00FD4D1F"/>
    <w:rsid w:val="00FD4DDD"/>
    <w:rsid w:val="00FD4E29"/>
    <w:rsid w:val="00FD508F"/>
    <w:rsid w:val="00FD522C"/>
    <w:rsid w:val="00FD5295"/>
    <w:rsid w:val="00FD52C2"/>
    <w:rsid w:val="00FD53D0"/>
    <w:rsid w:val="00FD552D"/>
    <w:rsid w:val="00FD55B0"/>
    <w:rsid w:val="00FD5692"/>
    <w:rsid w:val="00FD56D2"/>
    <w:rsid w:val="00FD56E2"/>
    <w:rsid w:val="00FD5705"/>
    <w:rsid w:val="00FD5802"/>
    <w:rsid w:val="00FD5A1A"/>
    <w:rsid w:val="00FD5A58"/>
    <w:rsid w:val="00FD5C5A"/>
    <w:rsid w:val="00FD5CAB"/>
    <w:rsid w:val="00FD5E65"/>
    <w:rsid w:val="00FD6069"/>
    <w:rsid w:val="00FD61DB"/>
    <w:rsid w:val="00FD6454"/>
    <w:rsid w:val="00FD6645"/>
    <w:rsid w:val="00FD685E"/>
    <w:rsid w:val="00FD6916"/>
    <w:rsid w:val="00FD6B69"/>
    <w:rsid w:val="00FD6B8E"/>
    <w:rsid w:val="00FD6BD9"/>
    <w:rsid w:val="00FD6C23"/>
    <w:rsid w:val="00FD6CD7"/>
    <w:rsid w:val="00FD6E5D"/>
    <w:rsid w:val="00FD7501"/>
    <w:rsid w:val="00FD75DB"/>
    <w:rsid w:val="00FD7AEE"/>
    <w:rsid w:val="00FD7B01"/>
    <w:rsid w:val="00FD7B2A"/>
    <w:rsid w:val="00FD7B7B"/>
    <w:rsid w:val="00FD7F0B"/>
    <w:rsid w:val="00FD7FFB"/>
    <w:rsid w:val="00FE0018"/>
    <w:rsid w:val="00FE0035"/>
    <w:rsid w:val="00FE009D"/>
    <w:rsid w:val="00FE012A"/>
    <w:rsid w:val="00FE02F6"/>
    <w:rsid w:val="00FE0361"/>
    <w:rsid w:val="00FE0379"/>
    <w:rsid w:val="00FE0457"/>
    <w:rsid w:val="00FE04CC"/>
    <w:rsid w:val="00FE054F"/>
    <w:rsid w:val="00FE055C"/>
    <w:rsid w:val="00FE0640"/>
    <w:rsid w:val="00FE0658"/>
    <w:rsid w:val="00FE0709"/>
    <w:rsid w:val="00FE0A2D"/>
    <w:rsid w:val="00FE0A44"/>
    <w:rsid w:val="00FE0B07"/>
    <w:rsid w:val="00FE0D00"/>
    <w:rsid w:val="00FE0F41"/>
    <w:rsid w:val="00FE110C"/>
    <w:rsid w:val="00FE1157"/>
    <w:rsid w:val="00FE132B"/>
    <w:rsid w:val="00FE1649"/>
    <w:rsid w:val="00FE173E"/>
    <w:rsid w:val="00FE19B4"/>
    <w:rsid w:val="00FE1A2F"/>
    <w:rsid w:val="00FE1BB6"/>
    <w:rsid w:val="00FE1E51"/>
    <w:rsid w:val="00FE1E70"/>
    <w:rsid w:val="00FE1F13"/>
    <w:rsid w:val="00FE1F2B"/>
    <w:rsid w:val="00FE201D"/>
    <w:rsid w:val="00FE2076"/>
    <w:rsid w:val="00FE207F"/>
    <w:rsid w:val="00FE2080"/>
    <w:rsid w:val="00FE20B3"/>
    <w:rsid w:val="00FE230E"/>
    <w:rsid w:val="00FE231F"/>
    <w:rsid w:val="00FE2342"/>
    <w:rsid w:val="00FE2364"/>
    <w:rsid w:val="00FE2529"/>
    <w:rsid w:val="00FE2625"/>
    <w:rsid w:val="00FE2628"/>
    <w:rsid w:val="00FE2674"/>
    <w:rsid w:val="00FE277C"/>
    <w:rsid w:val="00FE2920"/>
    <w:rsid w:val="00FE29D0"/>
    <w:rsid w:val="00FE2B45"/>
    <w:rsid w:val="00FE2BFE"/>
    <w:rsid w:val="00FE2C79"/>
    <w:rsid w:val="00FE2D80"/>
    <w:rsid w:val="00FE2DAD"/>
    <w:rsid w:val="00FE2EB3"/>
    <w:rsid w:val="00FE2F49"/>
    <w:rsid w:val="00FE2F74"/>
    <w:rsid w:val="00FE3312"/>
    <w:rsid w:val="00FE34E6"/>
    <w:rsid w:val="00FE3690"/>
    <w:rsid w:val="00FE3750"/>
    <w:rsid w:val="00FE37E8"/>
    <w:rsid w:val="00FE3827"/>
    <w:rsid w:val="00FE3872"/>
    <w:rsid w:val="00FE397E"/>
    <w:rsid w:val="00FE3B73"/>
    <w:rsid w:val="00FE3CAF"/>
    <w:rsid w:val="00FE3D8B"/>
    <w:rsid w:val="00FE3E04"/>
    <w:rsid w:val="00FE3F71"/>
    <w:rsid w:val="00FE402C"/>
    <w:rsid w:val="00FE4298"/>
    <w:rsid w:val="00FE4311"/>
    <w:rsid w:val="00FE4521"/>
    <w:rsid w:val="00FE454A"/>
    <w:rsid w:val="00FE4572"/>
    <w:rsid w:val="00FE4716"/>
    <w:rsid w:val="00FE47D6"/>
    <w:rsid w:val="00FE4849"/>
    <w:rsid w:val="00FE4898"/>
    <w:rsid w:val="00FE4901"/>
    <w:rsid w:val="00FE496C"/>
    <w:rsid w:val="00FE4AF0"/>
    <w:rsid w:val="00FE4B42"/>
    <w:rsid w:val="00FE4D45"/>
    <w:rsid w:val="00FE4DDF"/>
    <w:rsid w:val="00FE4E2B"/>
    <w:rsid w:val="00FE4E90"/>
    <w:rsid w:val="00FE4F24"/>
    <w:rsid w:val="00FE4F5E"/>
    <w:rsid w:val="00FE4FDD"/>
    <w:rsid w:val="00FE5156"/>
    <w:rsid w:val="00FE51AA"/>
    <w:rsid w:val="00FE5361"/>
    <w:rsid w:val="00FE5478"/>
    <w:rsid w:val="00FE568E"/>
    <w:rsid w:val="00FE56ED"/>
    <w:rsid w:val="00FE5821"/>
    <w:rsid w:val="00FE588B"/>
    <w:rsid w:val="00FE592F"/>
    <w:rsid w:val="00FE59B8"/>
    <w:rsid w:val="00FE5C2D"/>
    <w:rsid w:val="00FE5CF2"/>
    <w:rsid w:val="00FE5EC2"/>
    <w:rsid w:val="00FE5FC7"/>
    <w:rsid w:val="00FE610E"/>
    <w:rsid w:val="00FE6401"/>
    <w:rsid w:val="00FE6478"/>
    <w:rsid w:val="00FE674D"/>
    <w:rsid w:val="00FE6965"/>
    <w:rsid w:val="00FE6998"/>
    <w:rsid w:val="00FE6A73"/>
    <w:rsid w:val="00FE6B21"/>
    <w:rsid w:val="00FE6B37"/>
    <w:rsid w:val="00FE6B83"/>
    <w:rsid w:val="00FE6BCA"/>
    <w:rsid w:val="00FE6D4B"/>
    <w:rsid w:val="00FE6DB7"/>
    <w:rsid w:val="00FE7014"/>
    <w:rsid w:val="00FE7155"/>
    <w:rsid w:val="00FE71CB"/>
    <w:rsid w:val="00FE7262"/>
    <w:rsid w:val="00FE73F5"/>
    <w:rsid w:val="00FE7580"/>
    <w:rsid w:val="00FE76BC"/>
    <w:rsid w:val="00FE7761"/>
    <w:rsid w:val="00FE798C"/>
    <w:rsid w:val="00FE79BD"/>
    <w:rsid w:val="00FE7C0B"/>
    <w:rsid w:val="00FE7D02"/>
    <w:rsid w:val="00FE7EA7"/>
    <w:rsid w:val="00FE7FAB"/>
    <w:rsid w:val="00FF0091"/>
    <w:rsid w:val="00FF00E5"/>
    <w:rsid w:val="00FF016A"/>
    <w:rsid w:val="00FF022F"/>
    <w:rsid w:val="00FF027F"/>
    <w:rsid w:val="00FF03C1"/>
    <w:rsid w:val="00FF0450"/>
    <w:rsid w:val="00FF059B"/>
    <w:rsid w:val="00FF05D0"/>
    <w:rsid w:val="00FF0868"/>
    <w:rsid w:val="00FF0928"/>
    <w:rsid w:val="00FF09C3"/>
    <w:rsid w:val="00FF0AB3"/>
    <w:rsid w:val="00FF0C8C"/>
    <w:rsid w:val="00FF0D8F"/>
    <w:rsid w:val="00FF0D98"/>
    <w:rsid w:val="00FF0E45"/>
    <w:rsid w:val="00FF0E70"/>
    <w:rsid w:val="00FF0EAA"/>
    <w:rsid w:val="00FF0F00"/>
    <w:rsid w:val="00FF0F22"/>
    <w:rsid w:val="00FF0FDE"/>
    <w:rsid w:val="00FF10A7"/>
    <w:rsid w:val="00FF1186"/>
    <w:rsid w:val="00FF11D9"/>
    <w:rsid w:val="00FF12A9"/>
    <w:rsid w:val="00FF13E7"/>
    <w:rsid w:val="00FF15D6"/>
    <w:rsid w:val="00FF1690"/>
    <w:rsid w:val="00FF1A67"/>
    <w:rsid w:val="00FF1AAC"/>
    <w:rsid w:val="00FF1AC5"/>
    <w:rsid w:val="00FF1BF8"/>
    <w:rsid w:val="00FF1C31"/>
    <w:rsid w:val="00FF1CF6"/>
    <w:rsid w:val="00FF1D05"/>
    <w:rsid w:val="00FF1D1D"/>
    <w:rsid w:val="00FF1D25"/>
    <w:rsid w:val="00FF1F76"/>
    <w:rsid w:val="00FF1FD5"/>
    <w:rsid w:val="00FF2096"/>
    <w:rsid w:val="00FF21BC"/>
    <w:rsid w:val="00FF225A"/>
    <w:rsid w:val="00FF23BB"/>
    <w:rsid w:val="00FF25E2"/>
    <w:rsid w:val="00FF274C"/>
    <w:rsid w:val="00FF278D"/>
    <w:rsid w:val="00FF27C0"/>
    <w:rsid w:val="00FF294B"/>
    <w:rsid w:val="00FF29D6"/>
    <w:rsid w:val="00FF2A2A"/>
    <w:rsid w:val="00FF2C84"/>
    <w:rsid w:val="00FF2DA6"/>
    <w:rsid w:val="00FF3161"/>
    <w:rsid w:val="00FF32BD"/>
    <w:rsid w:val="00FF34FD"/>
    <w:rsid w:val="00FF3600"/>
    <w:rsid w:val="00FF3BB8"/>
    <w:rsid w:val="00FF3CCB"/>
    <w:rsid w:val="00FF3E51"/>
    <w:rsid w:val="00FF3F5E"/>
    <w:rsid w:val="00FF3F60"/>
    <w:rsid w:val="00FF3F7F"/>
    <w:rsid w:val="00FF401B"/>
    <w:rsid w:val="00FF4132"/>
    <w:rsid w:val="00FF4160"/>
    <w:rsid w:val="00FF43C7"/>
    <w:rsid w:val="00FF4465"/>
    <w:rsid w:val="00FF44EF"/>
    <w:rsid w:val="00FF4676"/>
    <w:rsid w:val="00FF4746"/>
    <w:rsid w:val="00FF478A"/>
    <w:rsid w:val="00FF4793"/>
    <w:rsid w:val="00FF49AF"/>
    <w:rsid w:val="00FF4C8A"/>
    <w:rsid w:val="00FF4FA1"/>
    <w:rsid w:val="00FF5220"/>
    <w:rsid w:val="00FF523F"/>
    <w:rsid w:val="00FF5395"/>
    <w:rsid w:val="00FF5509"/>
    <w:rsid w:val="00FF557F"/>
    <w:rsid w:val="00FF55C8"/>
    <w:rsid w:val="00FF5752"/>
    <w:rsid w:val="00FF5A11"/>
    <w:rsid w:val="00FF5A30"/>
    <w:rsid w:val="00FF5AE7"/>
    <w:rsid w:val="00FF5B29"/>
    <w:rsid w:val="00FF5E3C"/>
    <w:rsid w:val="00FF5EFC"/>
    <w:rsid w:val="00FF6117"/>
    <w:rsid w:val="00FF622F"/>
    <w:rsid w:val="00FF63AD"/>
    <w:rsid w:val="00FF6415"/>
    <w:rsid w:val="00FF65A5"/>
    <w:rsid w:val="00FF6639"/>
    <w:rsid w:val="00FF6908"/>
    <w:rsid w:val="00FF6939"/>
    <w:rsid w:val="00FF6BB4"/>
    <w:rsid w:val="00FF6CF0"/>
    <w:rsid w:val="00FF6D3B"/>
    <w:rsid w:val="00FF6D80"/>
    <w:rsid w:val="00FF6F6A"/>
    <w:rsid w:val="00FF718C"/>
    <w:rsid w:val="00FF727A"/>
    <w:rsid w:val="00FF733B"/>
    <w:rsid w:val="00FF7345"/>
    <w:rsid w:val="00FF73D3"/>
    <w:rsid w:val="00FF73DA"/>
    <w:rsid w:val="00FF75FF"/>
    <w:rsid w:val="00FF762A"/>
    <w:rsid w:val="00FF767A"/>
    <w:rsid w:val="00FF793D"/>
    <w:rsid w:val="00FF7A49"/>
    <w:rsid w:val="00FF7AF3"/>
    <w:rsid w:val="00FF7FE9"/>
    <w:rsid w:val="0127EA54"/>
    <w:rsid w:val="0145C6F7"/>
    <w:rsid w:val="0147D228"/>
    <w:rsid w:val="014F72CF"/>
    <w:rsid w:val="0154E936"/>
    <w:rsid w:val="017299BD"/>
    <w:rsid w:val="017CAFC3"/>
    <w:rsid w:val="0187C976"/>
    <w:rsid w:val="01FD99D6"/>
    <w:rsid w:val="01FF4BFD"/>
    <w:rsid w:val="02094F74"/>
    <w:rsid w:val="021EC4DE"/>
    <w:rsid w:val="022D7D8B"/>
    <w:rsid w:val="022ED50E"/>
    <w:rsid w:val="025230F5"/>
    <w:rsid w:val="02566C8B"/>
    <w:rsid w:val="025EE4FD"/>
    <w:rsid w:val="026BBC09"/>
    <w:rsid w:val="026FC231"/>
    <w:rsid w:val="02A5DC53"/>
    <w:rsid w:val="02AF8C00"/>
    <w:rsid w:val="02BA3490"/>
    <w:rsid w:val="02D1C9F4"/>
    <w:rsid w:val="031ACFB4"/>
    <w:rsid w:val="031BC4EC"/>
    <w:rsid w:val="031D2771"/>
    <w:rsid w:val="031EE8F8"/>
    <w:rsid w:val="032414D0"/>
    <w:rsid w:val="0325F730"/>
    <w:rsid w:val="03312A04"/>
    <w:rsid w:val="033767BE"/>
    <w:rsid w:val="035BA32D"/>
    <w:rsid w:val="036057EC"/>
    <w:rsid w:val="036D4D73"/>
    <w:rsid w:val="03768D7C"/>
    <w:rsid w:val="0389BD30"/>
    <w:rsid w:val="039C8DC7"/>
    <w:rsid w:val="03AACABA"/>
    <w:rsid w:val="03B7F98D"/>
    <w:rsid w:val="03E30F0F"/>
    <w:rsid w:val="03F4B26A"/>
    <w:rsid w:val="03F5FC8E"/>
    <w:rsid w:val="03F782A3"/>
    <w:rsid w:val="04086C04"/>
    <w:rsid w:val="041C6178"/>
    <w:rsid w:val="0429DAE1"/>
    <w:rsid w:val="0438941E"/>
    <w:rsid w:val="044937FF"/>
    <w:rsid w:val="04652C65"/>
    <w:rsid w:val="048023A6"/>
    <w:rsid w:val="049AE046"/>
    <w:rsid w:val="04B30505"/>
    <w:rsid w:val="04DA1947"/>
    <w:rsid w:val="04E77F71"/>
    <w:rsid w:val="05081DD2"/>
    <w:rsid w:val="050B993F"/>
    <w:rsid w:val="0523D8A3"/>
    <w:rsid w:val="0527A3DA"/>
    <w:rsid w:val="052A8211"/>
    <w:rsid w:val="0538905E"/>
    <w:rsid w:val="054FAEF7"/>
    <w:rsid w:val="055875D4"/>
    <w:rsid w:val="058F2D00"/>
    <w:rsid w:val="0591427E"/>
    <w:rsid w:val="05992203"/>
    <w:rsid w:val="05AC47ED"/>
    <w:rsid w:val="05B46926"/>
    <w:rsid w:val="05C0301B"/>
    <w:rsid w:val="05C3B392"/>
    <w:rsid w:val="05CA0DA5"/>
    <w:rsid w:val="05DB0EF3"/>
    <w:rsid w:val="05E55AA6"/>
    <w:rsid w:val="05F4CC2E"/>
    <w:rsid w:val="05FEAE23"/>
    <w:rsid w:val="05FEE8CA"/>
    <w:rsid w:val="060C5C0E"/>
    <w:rsid w:val="061495DD"/>
    <w:rsid w:val="061F6B47"/>
    <w:rsid w:val="06246C76"/>
    <w:rsid w:val="06289C92"/>
    <w:rsid w:val="062C94EF"/>
    <w:rsid w:val="063B59D8"/>
    <w:rsid w:val="064899BC"/>
    <w:rsid w:val="0653C57F"/>
    <w:rsid w:val="065613C3"/>
    <w:rsid w:val="065843F3"/>
    <w:rsid w:val="065DEFCA"/>
    <w:rsid w:val="06657B3B"/>
    <w:rsid w:val="066786A8"/>
    <w:rsid w:val="066F8B80"/>
    <w:rsid w:val="0685B025"/>
    <w:rsid w:val="068764EF"/>
    <w:rsid w:val="068F83B8"/>
    <w:rsid w:val="069DB1DF"/>
    <w:rsid w:val="06A3A7D9"/>
    <w:rsid w:val="06A41C28"/>
    <w:rsid w:val="06BF369F"/>
    <w:rsid w:val="06CFC10C"/>
    <w:rsid w:val="06D3707C"/>
    <w:rsid w:val="06E5B519"/>
    <w:rsid w:val="06F0197C"/>
    <w:rsid w:val="06F1ADFE"/>
    <w:rsid w:val="06F228E9"/>
    <w:rsid w:val="06F9BB71"/>
    <w:rsid w:val="071D667E"/>
    <w:rsid w:val="0758F4AF"/>
    <w:rsid w:val="0762E260"/>
    <w:rsid w:val="076EEDBE"/>
    <w:rsid w:val="0776BEF9"/>
    <w:rsid w:val="07794585"/>
    <w:rsid w:val="077F3D21"/>
    <w:rsid w:val="07814BD1"/>
    <w:rsid w:val="0781CA33"/>
    <w:rsid w:val="07833E80"/>
    <w:rsid w:val="07943F0B"/>
    <w:rsid w:val="07AC0E90"/>
    <w:rsid w:val="07B10DA8"/>
    <w:rsid w:val="07B7BC4F"/>
    <w:rsid w:val="07B9F810"/>
    <w:rsid w:val="07BB2499"/>
    <w:rsid w:val="07BCA8B2"/>
    <w:rsid w:val="07CB3E7E"/>
    <w:rsid w:val="07DD6035"/>
    <w:rsid w:val="07F6F0DE"/>
    <w:rsid w:val="07F89FDC"/>
    <w:rsid w:val="080D636D"/>
    <w:rsid w:val="082B507A"/>
    <w:rsid w:val="083152B0"/>
    <w:rsid w:val="083BD0B2"/>
    <w:rsid w:val="0844559C"/>
    <w:rsid w:val="0853A0D7"/>
    <w:rsid w:val="08757148"/>
    <w:rsid w:val="0888C1B0"/>
    <w:rsid w:val="08A57659"/>
    <w:rsid w:val="08A61599"/>
    <w:rsid w:val="08C0E5C9"/>
    <w:rsid w:val="08C475A3"/>
    <w:rsid w:val="08C49FDB"/>
    <w:rsid w:val="08D4268A"/>
    <w:rsid w:val="08D82F0F"/>
    <w:rsid w:val="08DDB32D"/>
    <w:rsid w:val="08FB9CCC"/>
    <w:rsid w:val="08FD3237"/>
    <w:rsid w:val="08FD982C"/>
    <w:rsid w:val="09029A0D"/>
    <w:rsid w:val="091F5DB6"/>
    <w:rsid w:val="09200A44"/>
    <w:rsid w:val="094BA167"/>
    <w:rsid w:val="095D1111"/>
    <w:rsid w:val="097460AC"/>
    <w:rsid w:val="09B6261C"/>
    <w:rsid w:val="09BE0EAF"/>
    <w:rsid w:val="09EE5C58"/>
    <w:rsid w:val="09FB9269"/>
    <w:rsid w:val="0A04DDF7"/>
    <w:rsid w:val="0A1960A5"/>
    <w:rsid w:val="0A388B82"/>
    <w:rsid w:val="0A3C3D1E"/>
    <w:rsid w:val="0A421780"/>
    <w:rsid w:val="0A4381D2"/>
    <w:rsid w:val="0A553471"/>
    <w:rsid w:val="0A60156D"/>
    <w:rsid w:val="0A669255"/>
    <w:rsid w:val="0A70B801"/>
    <w:rsid w:val="0A799CEE"/>
    <w:rsid w:val="0A881457"/>
    <w:rsid w:val="0A99ED96"/>
    <w:rsid w:val="0AC2F03B"/>
    <w:rsid w:val="0AD84C0A"/>
    <w:rsid w:val="0AF6ECB4"/>
    <w:rsid w:val="0B1102A5"/>
    <w:rsid w:val="0B2262B5"/>
    <w:rsid w:val="0B23AFDB"/>
    <w:rsid w:val="0B2AEC55"/>
    <w:rsid w:val="0B44F38D"/>
    <w:rsid w:val="0B5437EB"/>
    <w:rsid w:val="0B67DFE0"/>
    <w:rsid w:val="0B792741"/>
    <w:rsid w:val="0B86D46C"/>
    <w:rsid w:val="0B87A8E7"/>
    <w:rsid w:val="0B9B0B75"/>
    <w:rsid w:val="0BA7FE21"/>
    <w:rsid w:val="0BCB2060"/>
    <w:rsid w:val="0BCBCED4"/>
    <w:rsid w:val="0BEA3B97"/>
    <w:rsid w:val="0BF48DBF"/>
    <w:rsid w:val="0BFE32C0"/>
    <w:rsid w:val="0C0D1B3C"/>
    <w:rsid w:val="0C16637C"/>
    <w:rsid w:val="0C310928"/>
    <w:rsid w:val="0C357EA2"/>
    <w:rsid w:val="0C492C4B"/>
    <w:rsid w:val="0C4F0CE1"/>
    <w:rsid w:val="0C910324"/>
    <w:rsid w:val="0C951B9D"/>
    <w:rsid w:val="0C9F70FD"/>
    <w:rsid w:val="0CAA4CAD"/>
    <w:rsid w:val="0CD003B2"/>
    <w:rsid w:val="0CFC573C"/>
    <w:rsid w:val="0D0D498C"/>
    <w:rsid w:val="0D14757A"/>
    <w:rsid w:val="0D1B0792"/>
    <w:rsid w:val="0D2C3C67"/>
    <w:rsid w:val="0D2F6AF5"/>
    <w:rsid w:val="0D30975B"/>
    <w:rsid w:val="0D35D97F"/>
    <w:rsid w:val="0D49AB4D"/>
    <w:rsid w:val="0D7EA188"/>
    <w:rsid w:val="0D8DA646"/>
    <w:rsid w:val="0D9052F4"/>
    <w:rsid w:val="0D91E85D"/>
    <w:rsid w:val="0DA4A547"/>
    <w:rsid w:val="0DE74C1E"/>
    <w:rsid w:val="0DF83EC0"/>
    <w:rsid w:val="0E06CCE9"/>
    <w:rsid w:val="0E33737A"/>
    <w:rsid w:val="0E405ED7"/>
    <w:rsid w:val="0E468C0B"/>
    <w:rsid w:val="0E54E6CF"/>
    <w:rsid w:val="0E5BCEE1"/>
    <w:rsid w:val="0E5C7883"/>
    <w:rsid w:val="0E66181B"/>
    <w:rsid w:val="0E76B77B"/>
    <w:rsid w:val="0E82D7DC"/>
    <w:rsid w:val="0E8B263E"/>
    <w:rsid w:val="0EA3862B"/>
    <w:rsid w:val="0EB2FAA4"/>
    <w:rsid w:val="0EB34BE7"/>
    <w:rsid w:val="0EC99F5D"/>
    <w:rsid w:val="0ECB42DF"/>
    <w:rsid w:val="0EE5E672"/>
    <w:rsid w:val="0EEAEE0E"/>
    <w:rsid w:val="0EED9EF2"/>
    <w:rsid w:val="0EF75B71"/>
    <w:rsid w:val="0EFB3329"/>
    <w:rsid w:val="0F01869B"/>
    <w:rsid w:val="0F090A24"/>
    <w:rsid w:val="0F249970"/>
    <w:rsid w:val="0F25F0C9"/>
    <w:rsid w:val="0F27EA79"/>
    <w:rsid w:val="0F2FD15F"/>
    <w:rsid w:val="0F308539"/>
    <w:rsid w:val="0F365363"/>
    <w:rsid w:val="0F3C3256"/>
    <w:rsid w:val="0F42DCC5"/>
    <w:rsid w:val="0F6679B1"/>
    <w:rsid w:val="0F807368"/>
    <w:rsid w:val="0F829CFC"/>
    <w:rsid w:val="0F9450B5"/>
    <w:rsid w:val="0F9A2FA5"/>
    <w:rsid w:val="0FA2E061"/>
    <w:rsid w:val="0FCBED06"/>
    <w:rsid w:val="0FD0020A"/>
    <w:rsid w:val="0FD439B5"/>
    <w:rsid w:val="0FDE3ADE"/>
    <w:rsid w:val="0FEB98AD"/>
    <w:rsid w:val="0FF499F1"/>
    <w:rsid w:val="0FFFA3D3"/>
    <w:rsid w:val="1014BBC0"/>
    <w:rsid w:val="102A5242"/>
    <w:rsid w:val="1033E680"/>
    <w:rsid w:val="1047FBF9"/>
    <w:rsid w:val="104B4A96"/>
    <w:rsid w:val="10570A05"/>
    <w:rsid w:val="1058C086"/>
    <w:rsid w:val="1064BCE2"/>
    <w:rsid w:val="10708B4E"/>
    <w:rsid w:val="1079049B"/>
    <w:rsid w:val="10796442"/>
    <w:rsid w:val="108806BB"/>
    <w:rsid w:val="10CE9B26"/>
    <w:rsid w:val="10CEFAB7"/>
    <w:rsid w:val="10D2D1AE"/>
    <w:rsid w:val="10F08D18"/>
    <w:rsid w:val="10F1ED4B"/>
    <w:rsid w:val="10F53F8F"/>
    <w:rsid w:val="10F7ACC0"/>
    <w:rsid w:val="1102D7CC"/>
    <w:rsid w:val="11037CB1"/>
    <w:rsid w:val="11077514"/>
    <w:rsid w:val="11084A82"/>
    <w:rsid w:val="11084A94"/>
    <w:rsid w:val="11113AF2"/>
    <w:rsid w:val="111B24C2"/>
    <w:rsid w:val="111D20B6"/>
    <w:rsid w:val="1142AAE6"/>
    <w:rsid w:val="114BE450"/>
    <w:rsid w:val="115C3DCA"/>
    <w:rsid w:val="117DBCA6"/>
    <w:rsid w:val="1182DC28"/>
    <w:rsid w:val="118E2B24"/>
    <w:rsid w:val="11BF689E"/>
    <w:rsid w:val="11D63159"/>
    <w:rsid w:val="11ECA545"/>
    <w:rsid w:val="1200E211"/>
    <w:rsid w:val="1213FA62"/>
    <w:rsid w:val="12155D75"/>
    <w:rsid w:val="1218FC8E"/>
    <w:rsid w:val="122CA6E5"/>
    <w:rsid w:val="123B798B"/>
    <w:rsid w:val="123D7B26"/>
    <w:rsid w:val="124DD2D9"/>
    <w:rsid w:val="1257D62F"/>
    <w:rsid w:val="1261393E"/>
    <w:rsid w:val="1264090E"/>
    <w:rsid w:val="126DB4F0"/>
    <w:rsid w:val="126FFEEA"/>
    <w:rsid w:val="12713F27"/>
    <w:rsid w:val="1271A612"/>
    <w:rsid w:val="1276AC7E"/>
    <w:rsid w:val="127D2C79"/>
    <w:rsid w:val="12843247"/>
    <w:rsid w:val="129DC1BC"/>
    <w:rsid w:val="129DC55E"/>
    <w:rsid w:val="12AC98D1"/>
    <w:rsid w:val="12B61C6D"/>
    <w:rsid w:val="12B9E269"/>
    <w:rsid w:val="12BDC399"/>
    <w:rsid w:val="12C65FD0"/>
    <w:rsid w:val="12C78FA8"/>
    <w:rsid w:val="12C992B5"/>
    <w:rsid w:val="12E1B05D"/>
    <w:rsid w:val="12E36030"/>
    <w:rsid w:val="12EC065F"/>
    <w:rsid w:val="12F4BD5C"/>
    <w:rsid w:val="130DFA9C"/>
    <w:rsid w:val="13318855"/>
    <w:rsid w:val="1331E149"/>
    <w:rsid w:val="1332801D"/>
    <w:rsid w:val="133CABCC"/>
    <w:rsid w:val="133D92B1"/>
    <w:rsid w:val="1366A0FB"/>
    <w:rsid w:val="13779F65"/>
    <w:rsid w:val="137F8A9A"/>
    <w:rsid w:val="138198D9"/>
    <w:rsid w:val="13B67EE1"/>
    <w:rsid w:val="13C5E9B7"/>
    <w:rsid w:val="13CF3B7C"/>
    <w:rsid w:val="13D5FBB2"/>
    <w:rsid w:val="141340C6"/>
    <w:rsid w:val="141F2177"/>
    <w:rsid w:val="142064EF"/>
    <w:rsid w:val="1424F893"/>
    <w:rsid w:val="1426EEA0"/>
    <w:rsid w:val="143729E4"/>
    <w:rsid w:val="1438F5C8"/>
    <w:rsid w:val="14430BAE"/>
    <w:rsid w:val="1448A1BC"/>
    <w:rsid w:val="14499EAA"/>
    <w:rsid w:val="14791366"/>
    <w:rsid w:val="149CAB56"/>
    <w:rsid w:val="14A43944"/>
    <w:rsid w:val="14A634B9"/>
    <w:rsid w:val="14ABE0F8"/>
    <w:rsid w:val="14B68D22"/>
    <w:rsid w:val="14D2F4EA"/>
    <w:rsid w:val="14E063D6"/>
    <w:rsid w:val="15003ECA"/>
    <w:rsid w:val="1505322A"/>
    <w:rsid w:val="150688C9"/>
    <w:rsid w:val="150F8EF6"/>
    <w:rsid w:val="15222F31"/>
    <w:rsid w:val="152EC1D8"/>
    <w:rsid w:val="155721D7"/>
    <w:rsid w:val="1560917D"/>
    <w:rsid w:val="15624FBF"/>
    <w:rsid w:val="156ED65A"/>
    <w:rsid w:val="157A0737"/>
    <w:rsid w:val="157CCB90"/>
    <w:rsid w:val="15816D45"/>
    <w:rsid w:val="15835DBC"/>
    <w:rsid w:val="15ACB86F"/>
    <w:rsid w:val="15AD0728"/>
    <w:rsid w:val="15B1699D"/>
    <w:rsid w:val="15C83439"/>
    <w:rsid w:val="15CE2068"/>
    <w:rsid w:val="15DC6EB9"/>
    <w:rsid w:val="15DC7F34"/>
    <w:rsid w:val="15DCEA6F"/>
    <w:rsid w:val="15DFC443"/>
    <w:rsid w:val="15EEC82E"/>
    <w:rsid w:val="15EF0C7C"/>
    <w:rsid w:val="15F57EEA"/>
    <w:rsid w:val="15F9B3C0"/>
    <w:rsid w:val="160EF125"/>
    <w:rsid w:val="1625F53C"/>
    <w:rsid w:val="16268791"/>
    <w:rsid w:val="1647F8A9"/>
    <w:rsid w:val="164BA5A1"/>
    <w:rsid w:val="16555EC0"/>
    <w:rsid w:val="165B6399"/>
    <w:rsid w:val="165BE697"/>
    <w:rsid w:val="165CB0CD"/>
    <w:rsid w:val="16600F28"/>
    <w:rsid w:val="166EB057"/>
    <w:rsid w:val="16718AE9"/>
    <w:rsid w:val="1686CA27"/>
    <w:rsid w:val="1690EF26"/>
    <w:rsid w:val="169C7C35"/>
    <w:rsid w:val="16A5EAB7"/>
    <w:rsid w:val="16ABB9C7"/>
    <w:rsid w:val="16CF368D"/>
    <w:rsid w:val="16D37F43"/>
    <w:rsid w:val="16D392FF"/>
    <w:rsid w:val="16E1C31E"/>
    <w:rsid w:val="16EE1432"/>
    <w:rsid w:val="170344C5"/>
    <w:rsid w:val="170624EA"/>
    <w:rsid w:val="171631A4"/>
    <w:rsid w:val="17167E40"/>
    <w:rsid w:val="171B5FF5"/>
    <w:rsid w:val="172B351E"/>
    <w:rsid w:val="17305E13"/>
    <w:rsid w:val="17327575"/>
    <w:rsid w:val="1747A2CF"/>
    <w:rsid w:val="175981FA"/>
    <w:rsid w:val="175D865C"/>
    <w:rsid w:val="176E66D2"/>
    <w:rsid w:val="1771E173"/>
    <w:rsid w:val="177229F0"/>
    <w:rsid w:val="178C6D7B"/>
    <w:rsid w:val="1793512A"/>
    <w:rsid w:val="17A98385"/>
    <w:rsid w:val="17B37FF1"/>
    <w:rsid w:val="17B62C1C"/>
    <w:rsid w:val="17BD7258"/>
    <w:rsid w:val="17CC00C2"/>
    <w:rsid w:val="17D1916D"/>
    <w:rsid w:val="17D8F770"/>
    <w:rsid w:val="17DE8E58"/>
    <w:rsid w:val="17F33622"/>
    <w:rsid w:val="17F4F3E5"/>
    <w:rsid w:val="18046334"/>
    <w:rsid w:val="180B9A0A"/>
    <w:rsid w:val="181099D4"/>
    <w:rsid w:val="18173369"/>
    <w:rsid w:val="181FA153"/>
    <w:rsid w:val="183DD425"/>
    <w:rsid w:val="18459A64"/>
    <w:rsid w:val="186EE199"/>
    <w:rsid w:val="18737A60"/>
    <w:rsid w:val="187BE436"/>
    <w:rsid w:val="1886BF60"/>
    <w:rsid w:val="188E78F6"/>
    <w:rsid w:val="1897B411"/>
    <w:rsid w:val="1898BA46"/>
    <w:rsid w:val="18A38653"/>
    <w:rsid w:val="18BDFA75"/>
    <w:rsid w:val="18D07327"/>
    <w:rsid w:val="18D902D2"/>
    <w:rsid w:val="18FC8799"/>
    <w:rsid w:val="1902D7DC"/>
    <w:rsid w:val="1910AB0F"/>
    <w:rsid w:val="191149D3"/>
    <w:rsid w:val="1914E8C9"/>
    <w:rsid w:val="1934C435"/>
    <w:rsid w:val="1935E87E"/>
    <w:rsid w:val="194BD5C3"/>
    <w:rsid w:val="194D75AB"/>
    <w:rsid w:val="195D0CED"/>
    <w:rsid w:val="1979821A"/>
    <w:rsid w:val="197D6A99"/>
    <w:rsid w:val="197F730E"/>
    <w:rsid w:val="1983D9F2"/>
    <w:rsid w:val="19940083"/>
    <w:rsid w:val="19A3FC18"/>
    <w:rsid w:val="19A97801"/>
    <w:rsid w:val="19AA224A"/>
    <w:rsid w:val="19AFBE6C"/>
    <w:rsid w:val="19B2655A"/>
    <w:rsid w:val="19BC51EC"/>
    <w:rsid w:val="19C38290"/>
    <w:rsid w:val="19FC74EC"/>
    <w:rsid w:val="1A00D309"/>
    <w:rsid w:val="1A033B75"/>
    <w:rsid w:val="1A0AD4BA"/>
    <w:rsid w:val="1A14C8A8"/>
    <w:rsid w:val="1A1BF58D"/>
    <w:rsid w:val="1A2155E8"/>
    <w:rsid w:val="1A37D353"/>
    <w:rsid w:val="1A398641"/>
    <w:rsid w:val="1A5D4387"/>
    <w:rsid w:val="1A768E91"/>
    <w:rsid w:val="1A78B027"/>
    <w:rsid w:val="1A95085D"/>
    <w:rsid w:val="1AAF8E60"/>
    <w:rsid w:val="1AC42BE8"/>
    <w:rsid w:val="1ACFF0AE"/>
    <w:rsid w:val="1AD197E0"/>
    <w:rsid w:val="1AF1B22E"/>
    <w:rsid w:val="1AF4B17E"/>
    <w:rsid w:val="1B098B99"/>
    <w:rsid w:val="1B194FC2"/>
    <w:rsid w:val="1B1A926E"/>
    <w:rsid w:val="1B245D7A"/>
    <w:rsid w:val="1B4B71C0"/>
    <w:rsid w:val="1B63525D"/>
    <w:rsid w:val="1B6DFFE4"/>
    <w:rsid w:val="1B72BEF2"/>
    <w:rsid w:val="1B79E3B5"/>
    <w:rsid w:val="1B8650FA"/>
    <w:rsid w:val="1BB535F7"/>
    <w:rsid w:val="1BBD9049"/>
    <w:rsid w:val="1BBF8528"/>
    <w:rsid w:val="1BD13D1F"/>
    <w:rsid w:val="1BD3B06D"/>
    <w:rsid w:val="1BD40BD7"/>
    <w:rsid w:val="1BE5BFE7"/>
    <w:rsid w:val="1BED3DB2"/>
    <w:rsid w:val="1BF6DABD"/>
    <w:rsid w:val="1C058BFD"/>
    <w:rsid w:val="1C06637D"/>
    <w:rsid w:val="1C0E1012"/>
    <w:rsid w:val="1C1219AF"/>
    <w:rsid w:val="1C129E3C"/>
    <w:rsid w:val="1C21B6B1"/>
    <w:rsid w:val="1C2B8C47"/>
    <w:rsid w:val="1C32318E"/>
    <w:rsid w:val="1C3FD94F"/>
    <w:rsid w:val="1C4DE543"/>
    <w:rsid w:val="1C6FA4CF"/>
    <w:rsid w:val="1C73936A"/>
    <w:rsid w:val="1C8DB965"/>
    <w:rsid w:val="1CA22315"/>
    <w:rsid w:val="1CA3191F"/>
    <w:rsid w:val="1CB1ED5E"/>
    <w:rsid w:val="1CC0AE96"/>
    <w:rsid w:val="1D05C235"/>
    <w:rsid w:val="1D0E8041"/>
    <w:rsid w:val="1D148DD3"/>
    <w:rsid w:val="1D18F207"/>
    <w:rsid w:val="1D2BB2D0"/>
    <w:rsid w:val="1D2C4C46"/>
    <w:rsid w:val="1D317152"/>
    <w:rsid w:val="1D36B06B"/>
    <w:rsid w:val="1D5ED3F4"/>
    <w:rsid w:val="1D601802"/>
    <w:rsid w:val="1D64C5BC"/>
    <w:rsid w:val="1D78F138"/>
    <w:rsid w:val="1D7F4D54"/>
    <w:rsid w:val="1D961E2F"/>
    <w:rsid w:val="1D9B3049"/>
    <w:rsid w:val="1D9D8B60"/>
    <w:rsid w:val="1DB1A4E2"/>
    <w:rsid w:val="1DE2C50B"/>
    <w:rsid w:val="1DE2DCFB"/>
    <w:rsid w:val="1DFA2373"/>
    <w:rsid w:val="1E03A68C"/>
    <w:rsid w:val="1E07F964"/>
    <w:rsid w:val="1E148F52"/>
    <w:rsid w:val="1E19B95D"/>
    <w:rsid w:val="1E1D9225"/>
    <w:rsid w:val="1E36684D"/>
    <w:rsid w:val="1E36FC24"/>
    <w:rsid w:val="1E38AD1A"/>
    <w:rsid w:val="1E5ED62B"/>
    <w:rsid w:val="1E6E0BE4"/>
    <w:rsid w:val="1E85947F"/>
    <w:rsid w:val="1E8A3EEA"/>
    <w:rsid w:val="1E9BCFD9"/>
    <w:rsid w:val="1EB77417"/>
    <w:rsid w:val="1EBA31DA"/>
    <w:rsid w:val="1EC1473C"/>
    <w:rsid w:val="1EC24292"/>
    <w:rsid w:val="1ED990B1"/>
    <w:rsid w:val="1EE674E8"/>
    <w:rsid w:val="1EEE707D"/>
    <w:rsid w:val="1EFC807B"/>
    <w:rsid w:val="1F1AB4E5"/>
    <w:rsid w:val="1F252F12"/>
    <w:rsid w:val="1F3433ED"/>
    <w:rsid w:val="1F37DFBB"/>
    <w:rsid w:val="1F530484"/>
    <w:rsid w:val="1F65F7C4"/>
    <w:rsid w:val="1F6649E7"/>
    <w:rsid w:val="1F7A1D34"/>
    <w:rsid w:val="1FB58C19"/>
    <w:rsid w:val="1FBC659E"/>
    <w:rsid w:val="1FBD2ED4"/>
    <w:rsid w:val="1FE4F01A"/>
    <w:rsid w:val="1FE7EE93"/>
    <w:rsid w:val="1FE91FAD"/>
    <w:rsid w:val="1FF1BDF4"/>
    <w:rsid w:val="1FF28BE4"/>
    <w:rsid w:val="1FFAC4EC"/>
    <w:rsid w:val="2004D8B1"/>
    <w:rsid w:val="20064F92"/>
    <w:rsid w:val="200839FA"/>
    <w:rsid w:val="200BAB5D"/>
    <w:rsid w:val="2012BDFF"/>
    <w:rsid w:val="202610A0"/>
    <w:rsid w:val="2027AFE6"/>
    <w:rsid w:val="202F42A5"/>
    <w:rsid w:val="203B6D6E"/>
    <w:rsid w:val="2048EE07"/>
    <w:rsid w:val="205A43F9"/>
    <w:rsid w:val="206F6420"/>
    <w:rsid w:val="2075CAA5"/>
    <w:rsid w:val="207B3BCA"/>
    <w:rsid w:val="20A5FF7D"/>
    <w:rsid w:val="20AB0229"/>
    <w:rsid w:val="20AFE124"/>
    <w:rsid w:val="20B319C3"/>
    <w:rsid w:val="20B428D7"/>
    <w:rsid w:val="20B7E1A1"/>
    <w:rsid w:val="20BAB63A"/>
    <w:rsid w:val="20C6500F"/>
    <w:rsid w:val="21002EC6"/>
    <w:rsid w:val="2102D0A6"/>
    <w:rsid w:val="212DC3D5"/>
    <w:rsid w:val="21367416"/>
    <w:rsid w:val="2165C475"/>
    <w:rsid w:val="2167FFCD"/>
    <w:rsid w:val="217FFFC0"/>
    <w:rsid w:val="218A22BE"/>
    <w:rsid w:val="21AA0A05"/>
    <w:rsid w:val="21B0264F"/>
    <w:rsid w:val="21B48FC5"/>
    <w:rsid w:val="21DA4F13"/>
    <w:rsid w:val="21F8C31C"/>
    <w:rsid w:val="21F93BB1"/>
    <w:rsid w:val="22071A7A"/>
    <w:rsid w:val="22296FEA"/>
    <w:rsid w:val="22382461"/>
    <w:rsid w:val="2244E9F0"/>
    <w:rsid w:val="225D3F42"/>
    <w:rsid w:val="226FFFF4"/>
    <w:rsid w:val="2288554D"/>
    <w:rsid w:val="229B937A"/>
    <w:rsid w:val="22A54970"/>
    <w:rsid w:val="22B2EC3C"/>
    <w:rsid w:val="22C31D81"/>
    <w:rsid w:val="22DD6AC0"/>
    <w:rsid w:val="23056FD7"/>
    <w:rsid w:val="230B4686"/>
    <w:rsid w:val="2327670E"/>
    <w:rsid w:val="2333ABBC"/>
    <w:rsid w:val="235533FC"/>
    <w:rsid w:val="23598701"/>
    <w:rsid w:val="235EF3D4"/>
    <w:rsid w:val="23619DAF"/>
    <w:rsid w:val="236D3793"/>
    <w:rsid w:val="238D148C"/>
    <w:rsid w:val="239B0DB6"/>
    <w:rsid w:val="23BE9A72"/>
    <w:rsid w:val="23C9AA1A"/>
    <w:rsid w:val="23D87A20"/>
    <w:rsid w:val="23DE30E1"/>
    <w:rsid w:val="23E619FA"/>
    <w:rsid w:val="23ED1B3C"/>
    <w:rsid w:val="23FA86F6"/>
    <w:rsid w:val="24149DDF"/>
    <w:rsid w:val="242CB934"/>
    <w:rsid w:val="246823BF"/>
    <w:rsid w:val="249F933F"/>
    <w:rsid w:val="24A27150"/>
    <w:rsid w:val="24AE30F3"/>
    <w:rsid w:val="24C042DF"/>
    <w:rsid w:val="24E56811"/>
    <w:rsid w:val="2502240A"/>
    <w:rsid w:val="2526F8D2"/>
    <w:rsid w:val="2528C03B"/>
    <w:rsid w:val="252FA149"/>
    <w:rsid w:val="253F5225"/>
    <w:rsid w:val="255D9E0B"/>
    <w:rsid w:val="2572ED47"/>
    <w:rsid w:val="258204A8"/>
    <w:rsid w:val="25886304"/>
    <w:rsid w:val="258FA616"/>
    <w:rsid w:val="25C4D363"/>
    <w:rsid w:val="25CEB992"/>
    <w:rsid w:val="25D22C28"/>
    <w:rsid w:val="25D6E2E9"/>
    <w:rsid w:val="25D9C475"/>
    <w:rsid w:val="25FE85EE"/>
    <w:rsid w:val="26061299"/>
    <w:rsid w:val="2609C20E"/>
    <w:rsid w:val="260B0D10"/>
    <w:rsid w:val="2631F35C"/>
    <w:rsid w:val="2647ACF7"/>
    <w:rsid w:val="264C2B3F"/>
    <w:rsid w:val="2657ED4F"/>
    <w:rsid w:val="265AAF43"/>
    <w:rsid w:val="26615676"/>
    <w:rsid w:val="26701364"/>
    <w:rsid w:val="268E5DD2"/>
    <w:rsid w:val="2694B30A"/>
    <w:rsid w:val="269FD64B"/>
    <w:rsid w:val="26A435DA"/>
    <w:rsid w:val="26AF60F2"/>
    <w:rsid w:val="26B5C5B1"/>
    <w:rsid w:val="26C8FE8C"/>
    <w:rsid w:val="26C9A2C4"/>
    <w:rsid w:val="26DBEEAE"/>
    <w:rsid w:val="26E0C1E9"/>
    <w:rsid w:val="26E3772C"/>
    <w:rsid w:val="26E472F3"/>
    <w:rsid w:val="26FA7A70"/>
    <w:rsid w:val="2719E7A7"/>
    <w:rsid w:val="2723C145"/>
    <w:rsid w:val="27322586"/>
    <w:rsid w:val="2733512E"/>
    <w:rsid w:val="274AFCD4"/>
    <w:rsid w:val="2756BA75"/>
    <w:rsid w:val="279D53FA"/>
    <w:rsid w:val="27C821E7"/>
    <w:rsid w:val="27D27597"/>
    <w:rsid w:val="27D413F3"/>
    <w:rsid w:val="27D4EBD4"/>
    <w:rsid w:val="27E4C933"/>
    <w:rsid w:val="27F1FC22"/>
    <w:rsid w:val="27F4498E"/>
    <w:rsid w:val="27FB5EC5"/>
    <w:rsid w:val="280DD28B"/>
    <w:rsid w:val="28239D56"/>
    <w:rsid w:val="282F0682"/>
    <w:rsid w:val="284B2414"/>
    <w:rsid w:val="285F1382"/>
    <w:rsid w:val="28620D7F"/>
    <w:rsid w:val="2881EEA1"/>
    <w:rsid w:val="28A4BFD7"/>
    <w:rsid w:val="28A8969B"/>
    <w:rsid w:val="28C1BB18"/>
    <w:rsid w:val="28F03715"/>
    <w:rsid w:val="28F2D175"/>
    <w:rsid w:val="28FA39A2"/>
    <w:rsid w:val="2900C987"/>
    <w:rsid w:val="2901087A"/>
    <w:rsid w:val="291B7769"/>
    <w:rsid w:val="2922D1D8"/>
    <w:rsid w:val="2939746E"/>
    <w:rsid w:val="293E7B59"/>
    <w:rsid w:val="293FC555"/>
    <w:rsid w:val="294BBDBB"/>
    <w:rsid w:val="2976A61A"/>
    <w:rsid w:val="29811689"/>
    <w:rsid w:val="29B97704"/>
    <w:rsid w:val="29D2CC0A"/>
    <w:rsid w:val="29D68C66"/>
    <w:rsid w:val="29E38954"/>
    <w:rsid w:val="29E3ACFA"/>
    <w:rsid w:val="29F3F13B"/>
    <w:rsid w:val="2A1336D6"/>
    <w:rsid w:val="2A1E722F"/>
    <w:rsid w:val="2A5610B5"/>
    <w:rsid w:val="2A601A84"/>
    <w:rsid w:val="2A72CE3F"/>
    <w:rsid w:val="2A76B143"/>
    <w:rsid w:val="2A8830DE"/>
    <w:rsid w:val="2A8B5142"/>
    <w:rsid w:val="2A921735"/>
    <w:rsid w:val="2AA9D47E"/>
    <w:rsid w:val="2AB12109"/>
    <w:rsid w:val="2AB6A45F"/>
    <w:rsid w:val="2AD625AC"/>
    <w:rsid w:val="2AE96511"/>
    <w:rsid w:val="2AF5C353"/>
    <w:rsid w:val="2AFFE50C"/>
    <w:rsid w:val="2B0095A5"/>
    <w:rsid w:val="2B1770AB"/>
    <w:rsid w:val="2B31E557"/>
    <w:rsid w:val="2B4A8CEE"/>
    <w:rsid w:val="2B4B07F8"/>
    <w:rsid w:val="2B509314"/>
    <w:rsid w:val="2B71CB57"/>
    <w:rsid w:val="2B8BB014"/>
    <w:rsid w:val="2B91DA50"/>
    <w:rsid w:val="2B9F4F52"/>
    <w:rsid w:val="2BBFEB40"/>
    <w:rsid w:val="2BC11064"/>
    <w:rsid w:val="2BC926FC"/>
    <w:rsid w:val="2BD864E3"/>
    <w:rsid w:val="2BFDAF86"/>
    <w:rsid w:val="2C30E9EA"/>
    <w:rsid w:val="2C34B148"/>
    <w:rsid w:val="2C3E3F4E"/>
    <w:rsid w:val="2C4079B9"/>
    <w:rsid w:val="2C433C28"/>
    <w:rsid w:val="2C5584A3"/>
    <w:rsid w:val="2C8E4BF6"/>
    <w:rsid w:val="2C9BFE45"/>
    <w:rsid w:val="2CB3FEC3"/>
    <w:rsid w:val="2CC34DEF"/>
    <w:rsid w:val="2CD0C3DF"/>
    <w:rsid w:val="2CD14F3B"/>
    <w:rsid w:val="2CD90296"/>
    <w:rsid w:val="2CEA84D3"/>
    <w:rsid w:val="2D0AD236"/>
    <w:rsid w:val="2D0FB21A"/>
    <w:rsid w:val="2D1341C8"/>
    <w:rsid w:val="2D1A06BC"/>
    <w:rsid w:val="2D2BFDF5"/>
    <w:rsid w:val="2D6176DE"/>
    <w:rsid w:val="2D68491C"/>
    <w:rsid w:val="2D72B8C2"/>
    <w:rsid w:val="2D8EA1B1"/>
    <w:rsid w:val="2D8FF397"/>
    <w:rsid w:val="2DA139E6"/>
    <w:rsid w:val="2DA1C203"/>
    <w:rsid w:val="2DA91483"/>
    <w:rsid w:val="2DB9AD01"/>
    <w:rsid w:val="2DC17EC5"/>
    <w:rsid w:val="2DE27ACD"/>
    <w:rsid w:val="2DE8B396"/>
    <w:rsid w:val="2DF0610E"/>
    <w:rsid w:val="2E12EA91"/>
    <w:rsid w:val="2E33B646"/>
    <w:rsid w:val="2E3A3C0B"/>
    <w:rsid w:val="2E5DA226"/>
    <w:rsid w:val="2E6FF600"/>
    <w:rsid w:val="2E755360"/>
    <w:rsid w:val="2E9BB535"/>
    <w:rsid w:val="2E9EFD6D"/>
    <w:rsid w:val="2EAEA2DB"/>
    <w:rsid w:val="2EDC389E"/>
    <w:rsid w:val="2EDE64FE"/>
    <w:rsid w:val="2F0451C7"/>
    <w:rsid w:val="2F0C02AD"/>
    <w:rsid w:val="2F20D160"/>
    <w:rsid w:val="2F310787"/>
    <w:rsid w:val="2F412596"/>
    <w:rsid w:val="2F51B29B"/>
    <w:rsid w:val="2F5ABD86"/>
    <w:rsid w:val="2F614F02"/>
    <w:rsid w:val="2F68DFEF"/>
    <w:rsid w:val="2F6A5B7C"/>
    <w:rsid w:val="2F71920F"/>
    <w:rsid w:val="2FC1ABAF"/>
    <w:rsid w:val="2FC64DB4"/>
    <w:rsid w:val="2FD37B6E"/>
    <w:rsid w:val="2FD6FBEB"/>
    <w:rsid w:val="2FE7942E"/>
    <w:rsid w:val="2FFF95F9"/>
    <w:rsid w:val="30097C81"/>
    <w:rsid w:val="301DD69C"/>
    <w:rsid w:val="303B39D1"/>
    <w:rsid w:val="303F1E9D"/>
    <w:rsid w:val="30435F0F"/>
    <w:rsid w:val="30463BDE"/>
    <w:rsid w:val="305A20F4"/>
    <w:rsid w:val="305E24C4"/>
    <w:rsid w:val="30687420"/>
    <w:rsid w:val="3075DAE3"/>
    <w:rsid w:val="307D73FD"/>
    <w:rsid w:val="307FD07A"/>
    <w:rsid w:val="3085885F"/>
    <w:rsid w:val="308BC360"/>
    <w:rsid w:val="30BDB1FE"/>
    <w:rsid w:val="30BFEEC0"/>
    <w:rsid w:val="30DBDFBA"/>
    <w:rsid w:val="30E874C7"/>
    <w:rsid w:val="30EECC3D"/>
    <w:rsid w:val="31104D55"/>
    <w:rsid w:val="31118EAF"/>
    <w:rsid w:val="311866C5"/>
    <w:rsid w:val="3129F743"/>
    <w:rsid w:val="312A42EB"/>
    <w:rsid w:val="3169F0FB"/>
    <w:rsid w:val="31904A39"/>
    <w:rsid w:val="3190EF22"/>
    <w:rsid w:val="319F444A"/>
    <w:rsid w:val="31A041DC"/>
    <w:rsid w:val="31A359E4"/>
    <w:rsid w:val="31ABA0AF"/>
    <w:rsid w:val="31C39B1C"/>
    <w:rsid w:val="32115363"/>
    <w:rsid w:val="3220341E"/>
    <w:rsid w:val="3228AA3C"/>
    <w:rsid w:val="322DD54D"/>
    <w:rsid w:val="3236B84F"/>
    <w:rsid w:val="323AD3C4"/>
    <w:rsid w:val="325AB103"/>
    <w:rsid w:val="326D20C6"/>
    <w:rsid w:val="328772B6"/>
    <w:rsid w:val="328DB8B8"/>
    <w:rsid w:val="329C2CF4"/>
    <w:rsid w:val="32B11C85"/>
    <w:rsid w:val="32B1880D"/>
    <w:rsid w:val="32BE8BA3"/>
    <w:rsid w:val="32C2C1D0"/>
    <w:rsid w:val="32E57C5E"/>
    <w:rsid w:val="32EFB45F"/>
    <w:rsid w:val="32F5E432"/>
    <w:rsid w:val="3304A65B"/>
    <w:rsid w:val="33059395"/>
    <w:rsid w:val="330858FE"/>
    <w:rsid w:val="330AE4B9"/>
    <w:rsid w:val="330D5A83"/>
    <w:rsid w:val="3310DD5A"/>
    <w:rsid w:val="332ED827"/>
    <w:rsid w:val="33319FEE"/>
    <w:rsid w:val="3356BA55"/>
    <w:rsid w:val="3364EF8B"/>
    <w:rsid w:val="3365B4DA"/>
    <w:rsid w:val="3368990B"/>
    <w:rsid w:val="3379C0BF"/>
    <w:rsid w:val="337C4316"/>
    <w:rsid w:val="33AC9688"/>
    <w:rsid w:val="33DAD73F"/>
    <w:rsid w:val="33DDF675"/>
    <w:rsid w:val="33DF64DA"/>
    <w:rsid w:val="33E28C4B"/>
    <w:rsid w:val="33EF25A9"/>
    <w:rsid w:val="33F31476"/>
    <w:rsid w:val="33F62657"/>
    <w:rsid w:val="33FA15C8"/>
    <w:rsid w:val="33FA2E95"/>
    <w:rsid w:val="33FADEB8"/>
    <w:rsid w:val="3407F820"/>
    <w:rsid w:val="341DBABA"/>
    <w:rsid w:val="346B1040"/>
    <w:rsid w:val="348D7FE4"/>
    <w:rsid w:val="34A0BCD3"/>
    <w:rsid w:val="34C0515F"/>
    <w:rsid w:val="34C995E8"/>
    <w:rsid w:val="34CE82F3"/>
    <w:rsid w:val="34D1B8B5"/>
    <w:rsid w:val="34F07E56"/>
    <w:rsid w:val="34F72FF4"/>
    <w:rsid w:val="3510AEB8"/>
    <w:rsid w:val="35131E43"/>
    <w:rsid w:val="351852C4"/>
    <w:rsid w:val="35264734"/>
    <w:rsid w:val="353D28BA"/>
    <w:rsid w:val="3552BD7A"/>
    <w:rsid w:val="3563E762"/>
    <w:rsid w:val="3566BEA1"/>
    <w:rsid w:val="35770FF7"/>
    <w:rsid w:val="3579654A"/>
    <w:rsid w:val="357AC57A"/>
    <w:rsid w:val="35884206"/>
    <w:rsid w:val="35A59BE1"/>
    <w:rsid w:val="35A71FD6"/>
    <w:rsid w:val="35C3E7DF"/>
    <w:rsid w:val="35C61418"/>
    <w:rsid w:val="35C7BD42"/>
    <w:rsid w:val="35D58616"/>
    <w:rsid w:val="35DBB89C"/>
    <w:rsid w:val="363D383C"/>
    <w:rsid w:val="364FA7ED"/>
    <w:rsid w:val="3655E322"/>
    <w:rsid w:val="3688E8F3"/>
    <w:rsid w:val="368DAD6A"/>
    <w:rsid w:val="36A2C2FB"/>
    <w:rsid w:val="36AB858D"/>
    <w:rsid w:val="36B28407"/>
    <w:rsid w:val="36B59AD4"/>
    <w:rsid w:val="36B5DA21"/>
    <w:rsid w:val="36B8C20A"/>
    <w:rsid w:val="36BB3F67"/>
    <w:rsid w:val="36BD6020"/>
    <w:rsid w:val="36DBDB1B"/>
    <w:rsid w:val="36FAC00F"/>
    <w:rsid w:val="36FADFE7"/>
    <w:rsid w:val="370F6F60"/>
    <w:rsid w:val="37104611"/>
    <w:rsid w:val="3716E48B"/>
    <w:rsid w:val="372C5465"/>
    <w:rsid w:val="375D3A3D"/>
    <w:rsid w:val="377E8CEF"/>
    <w:rsid w:val="378E3027"/>
    <w:rsid w:val="37A32D5C"/>
    <w:rsid w:val="37A5307E"/>
    <w:rsid w:val="37B15367"/>
    <w:rsid w:val="37C3A583"/>
    <w:rsid w:val="37DFAB30"/>
    <w:rsid w:val="37E4B4FA"/>
    <w:rsid w:val="37F260C4"/>
    <w:rsid w:val="37F4A990"/>
    <w:rsid w:val="38011D57"/>
    <w:rsid w:val="380871D6"/>
    <w:rsid w:val="381BF30A"/>
    <w:rsid w:val="382357FF"/>
    <w:rsid w:val="382F754D"/>
    <w:rsid w:val="3838713D"/>
    <w:rsid w:val="384B1383"/>
    <w:rsid w:val="3850E41C"/>
    <w:rsid w:val="385CDF53"/>
    <w:rsid w:val="385DD1F8"/>
    <w:rsid w:val="38824FE9"/>
    <w:rsid w:val="38B60894"/>
    <w:rsid w:val="38CAFE89"/>
    <w:rsid w:val="38F02AA4"/>
    <w:rsid w:val="38F669D8"/>
    <w:rsid w:val="38F8866E"/>
    <w:rsid w:val="38FE4269"/>
    <w:rsid w:val="3916CA82"/>
    <w:rsid w:val="3925875D"/>
    <w:rsid w:val="392FBC9D"/>
    <w:rsid w:val="39302000"/>
    <w:rsid w:val="39361FCE"/>
    <w:rsid w:val="39365921"/>
    <w:rsid w:val="39407DAD"/>
    <w:rsid w:val="394DC17F"/>
    <w:rsid w:val="3979653F"/>
    <w:rsid w:val="398A7459"/>
    <w:rsid w:val="39997F6C"/>
    <w:rsid w:val="399AB493"/>
    <w:rsid w:val="39B770F7"/>
    <w:rsid w:val="39BB5610"/>
    <w:rsid w:val="39C238BB"/>
    <w:rsid w:val="39C71A55"/>
    <w:rsid w:val="39DCF2AA"/>
    <w:rsid w:val="39EE2778"/>
    <w:rsid w:val="3A0007E8"/>
    <w:rsid w:val="3A0639B7"/>
    <w:rsid w:val="3A0717AF"/>
    <w:rsid w:val="3A0A638B"/>
    <w:rsid w:val="3A159DF0"/>
    <w:rsid w:val="3A18E349"/>
    <w:rsid w:val="3A20A92E"/>
    <w:rsid w:val="3A270932"/>
    <w:rsid w:val="3A2829C2"/>
    <w:rsid w:val="3A5FDA94"/>
    <w:rsid w:val="3A74AA44"/>
    <w:rsid w:val="3A92D23F"/>
    <w:rsid w:val="3A9BB3FC"/>
    <w:rsid w:val="3AB0ECA9"/>
    <w:rsid w:val="3AC02FDE"/>
    <w:rsid w:val="3AC62594"/>
    <w:rsid w:val="3AC755D5"/>
    <w:rsid w:val="3AE96BF0"/>
    <w:rsid w:val="3AEAFBE2"/>
    <w:rsid w:val="3AF519B9"/>
    <w:rsid w:val="3AFA5FBE"/>
    <w:rsid w:val="3B03CB1E"/>
    <w:rsid w:val="3B1FAF65"/>
    <w:rsid w:val="3B2C141F"/>
    <w:rsid w:val="3B30CB27"/>
    <w:rsid w:val="3B589C39"/>
    <w:rsid w:val="3B59B92D"/>
    <w:rsid w:val="3B5A5FBB"/>
    <w:rsid w:val="3B5D0928"/>
    <w:rsid w:val="3B658840"/>
    <w:rsid w:val="3B77AFC5"/>
    <w:rsid w:val="3B89A887"/>
    <w:rsid w:val="3B8F926B"/>
    <w:rsid w:val="3B900EFF"/>
    <w:rsid w:val="3B914D38"/>
    <w:rsid w:val="3B9279EF"/>
    <w:rsid w:val="3BA1D346"/>
    <w:rsid w:val="3BADFFC9"/>
    <w:rsid w:val="3BB58A32"/>
    <w:rsid w:val="3BBCF3C1"/>
    <w:rsid w:val="3BC14D55"/>
    <w:rsid w:val="3BD4692F"/>
    <w:rsid w:val="3BDF2FC2"/>
    <w:rsid w:val="3BE13B7A"/>
    <w:rsid w:val="3BF67C6E"/>
    <w:rsid w:val="3BF8A538"/>
    <w:rsid w:val="3BFACB51"/>
    <w:rsid w:val="3C152547"/>
    <w:rsid w:val="3C1C5778"/>
    <w:rsid w:val="3C32248A"/>
    <w:rsid w:val="3C32AA35"/>
    <w:rsid w:val="3C4E43E3"/>
    <w:rsid w:val="3C65DB29"/>
    <w:rsid w:val="3C7AE066"/>
    <w:rsid w:val="3C88A17B"/>
    <w:rsid w:val="3C8A2018"/>
    <w:rsid w:val="3C8E629D"/>
    <w:rsid w:val="3C9197D3"/>
    <w:rsid w:val="3C92BD47"/>
    <w:rsid w:val="3C9EA7C6"/>
    <w:rsid w:val="3CAD2F10"/>
    <w:rsid w:val="3CAF822E"/>
    <w:rsid w:val="3CB006DD"/>
    <w:rsid w:val="3CE1C69B"/>
    <w:rsid w:val="3CEA333F"/>
    <w:rsid w:val="3CF393DE"/>
    <w:rsid w:val="3CFC6209"/>
    <w:rsid w:val="3D058C40"/>
    <w:rsid w:val="3D0672AF"/>
    <w:rsid w:val="3D10FF79"/>
    <w:rsid w:val="3D12808B"/>
    <w:rsid w:val="3D17911A"/>
    <w:rsid w:val="3D304D5D"/>
    <w:rsid w:val="3D336978"/>
    <w:rsid w:val="3D33AD32"/>
    <w:rsid w:val="3D515670"/>
    <w:rsid w:val="3D55A853"/>
    <w:rsid w:val="3D6DA52A"/>
    <w:rsid w:val="3D85DBDB"/>
    <w:rsid w:val="3D8BB452"/>
    <w:rsid w:val="3D99BB19"/>
    <w:rsid w:val="3D9CC4AB"/>
    <w:rsid w:val="3DCEFE1D"/>
    <w:rsid w:val="3DE71829"/>
    <w:rsid w:val="3DEA4C86"/>
    <w:rsid w:val="3DF01295"/>
    <w:rsid w:val="3DF60447"/>
    <w:rsid w:val="3E1802F0"/>
    <w:rsid w:val="3E224F71"/>
    <w:rsid w:val="3E2AB33D"/>
    <w:rsid w:val="3E3B65C0"/>
    <w:rsid w:val="3E4B2143"/>
    <w:rsid w:val="3E57436C"/>
    <w:rsid w:val="3E646D3F"/>
    <w:rsid w:val="3E66EA3B"/>
    <w:rsid w:val="3E6B5211"/>
    <w:rsid w:val="3E7ACDE8"/>
    <w:rsid w:val="3E7D095F"/>
    <w:rsid w:val="3E822A2C"/>
    <w:rsid w:val="3E83FBEB"/>
    <w:rsid w:val="3E864F82"/>
    <w:rsid w:val="3EA8FA88"/>
    <w:rsid w:val="3EAFDDA3"/>
    <w:rsid w:val="3EB2FAE5"/>
    <w:rsid w:val="3ECC16BB"/>
    <w:rsid w:val="3ECE6A0E"/>
    <w:rsid w:val="3EEA9C17"/>
    <w:rsid w:val="3EF7585A"/>
    <w:rsid w:val="3EFFF90F"/>
    <w:rsid w:val="3F06F262"/>
    <w:rsid w:val="3F146977"/>
    <w:rsid w:val="3F28AE31"/>
    <w:rsid w:val="3F35DBBF"/>
    <w:rsid w:val="3F38AD33"/>
    <w:rsid w:val="3F40D8A8"/>
    <w:rsid w:val="3F44ECF4"/>
    <w:rsid w:val="3F4CDBB6"/>
    <w:rsid w:val="3F4FC906"/>
    <w:rsid w:val="3F5534E2"/>
    <w:rsid w:val="3F5A65D8"/>
    <w:rsid w:val="3F6A5541"/>
    <w:rsid w:val="3F6A9ED0"/>
    <w:rsid w:val="3F719169"/>
    <w:rsid w:val="3F95BE13"/>
    <w:rsid w:val="3FAEE6FD"/>
    <w:rsid w:val="3FB9A01E"/>
    <w:rsid w:val="3FC26900"/>
    <w:rsid w:val="4007CFAA"/>
    <w:rsid w:val="400A6E51"/>
    <w:rsid w:val="4012E9F7"/>
    <w:rsid w:val="4016C8A9"/>
    <w:rsid w:val="401B60FC"/>
    <w:rsid w:val="4022AEDC"/>
    <w:rsid w:val="402A1461"/>
    <w:rsid w:val="402B7C97"/>
    <w:rsid w:val="402C0EC5"/>
    <w:rsid w:val="402CA632"/>
    <w:rsid w:val="4030BA00"/>
    <w:rsid w:val="404D71F5"/>
    <w:rsid w:val="4055659B"/>
    <w:rsid w:val="405C5552"/>
    <w:rsid w:val="40611785"/>
    <w:rsid w:val="407F7437"/>
    <w:rsid w:val="4088E12C"/>
    <w:rsid w:val="40975F0E"/>
    <w:rsid w:val="409BDCB1"/>
    <w:rsid w:val="40A7FFD2"/>
    <w:rsid w:val="40B3AA74"/>
    <w:rsid w:val="40C44FCE"/>
    <w:rsid w:val="40D7F00E"/>
    <w:rsid w:val="40E2BC50"/>
    <w:rsid w:val="40EB92F6"/>
    <w:rsid w:val="40EE2810"/>
    <w:rsid w:val="40F712A0"/>
    <w:rsid w:val="4120EBE9"/>
    <w:rsid w:val="412AE4E4"/>
    <w:rsid w:val="4140113B"/>
    <w:rsid w:val="416BFD29"/>
    <w:rsid w:val="41785610"/>
    <w:rsid w:val="41CA3593"/>
    <w:rsid w:val="41D127E0"/>
    <w:rsid w:val="41E09C8C"/>
    <w:rsid w:val="41EA7B6E"/>
    <w:rsid w:val="41F0D249"/>
    <w:rsid w:val="41F8D9FE"/>
    <w:rsid w:val="420925CA"/>
    <w:rsid w:val="42150655"/>
    <w:rsid w:val="422792F5"/>
    <w:rsid w:val="422969D6"/>
    <w:rsid w:val="424311F1"/>
    <w:rsid w:val="4245D64C"/>
    <w:rsid w:val="4254F60E"/>
    <w:rsid w:val="42585201"/>
    <w:rsid w:val="425F6AF1"/>
    <w:rsid w:val="4260BD65"/>
    <w:rsid w:val="42629401"/>
    <w:rsid w:val="42848830"/>
    <w:rsid w:val="42853FE3"/>
    <w:rsid w:val="42863B91"/>
    <w:rsid w:val="4294212D"/>
    <w:rsid w:val="42944E09"/>
    <w:rsid w:val="429A46D5"/>
    <w:rsid w:val="42A94ADA"/>
    <w:rsid w:val="42C9256F"/>
    <w:rsid w:val="42CC03CD"/>
    <w:rsid w:val="42D57206"/>
    <w:rsid w:val="42E4163A"/>
    <w:rsid w:val="42EA2F24"/>
    <w:rsid w:val="42FFAF68"/>
    <w:rsid w:val="4300A883"/>
    <w:rsid w:val="430C5D5E"/>
    <w:rsid w:val="43261C04"/>
    <w:rsid w:val="4375275D"/>
    <w:rsid w:val="437710E7"/>
    <w:rsid w:val="438AF497"/>
    <w:rsid w:val="439D6745"/>
    <w:rsid w:val="439F218A"/>
    <w:rsid w:val="43A25990"/>
    <w:rsid w:val="43AFC6C0"/>
    <w:rsid w:val="43C37C6C"/>
    <w:rsid w:val="43D7E7BB"/>
    <w:rsid w:val="440AC8AA"/>
    <w:rsid w:val="440D49CC"/>
    <w:rsid w:val="44250FC6"/>
    <w:rsid w:val="446C335C"/>
    <w:rsid w:val="446CE3DE"/>
    <w:rsid w:val="44868AFC"/>
    <w:rsid w:val="44899B20"/>
    <w:rsid w:val="448E1A41"/>
    <w:rsid w:val="448EA402"/>
    <w:rsid w:val="449C7D46"/>
    <w:rsid w:val="44A08DA3"/>
    <w:rsid w:val="44A63051"/>
    <w:rsid w:val="44AA8416"/>
    <w:rsid w:val="44AD42E2"/>
    <w:rsid w:val="44AE2EB5"/>
    <w:rsid w:val="44AF666A"/>
    <w:rsid w:val="44AFFE22"/>
    <w:rsid w:val="44C2E7D9"/>
    <w:rsid w:val="44C6D8C2"/>
    <w:rsid w:val="44D70BE2"/>
    <w:rsid w:val="44EF6780"/>
    <w:rsid w:val="450F2AC1"/>
    <w:rsid w:val="4517E406"/>
    <w:rsid w:val="453175D6"/>
    <w:rsid w:val="45373D6D"/>
    <w:rsid w:val="45393F7D"/>
    <w:rsid w:val="454A3EDE"/>
    <w:rsid w:val="4557FB26"/>
    <w:rsid w:val="455C895D"/>
    <w:rsid w:val="456D21B7"/>
    <w:rsid w:val="456EB8C4"/>
    <w:rsid w:val="457ECAA9"/>
    <w:rsid w:val="4586F1AE"/>
    <w:rsid w:val="45A3A0E6"/>
    <w:rsid w:val="45A451D3"/>
    <w:rsid w:val="45A7F902"/>
    <w:rsid w:val="45AB4E36"/>
    <w:rsid w:val="45BB8AB5"/>
    <w:rsid w:val="45C98C87"/>
    <w:rsid w:val="45E5B248"/>
    <w:rsid w:val="45F4151D"/>
    <w:rsid w:val="46077D95"/>
    <w:rsid w:val="460AA810"/>
    <w:rsid w:val="4626B3E4"/>
    <w:rsid w:val="462DC73D"/>
    <w:rsid w:val="4631876C"/>
    <w:rsid w:val="4636F060"/>
    <w:rsid w:val="463E108E"/>
    <w:rsid w:val="464BA615"/>
    <w:rsid w:val="464BB22E"/>
    <w:rsid w:val="464D6B85"/>
    <w:rsid w:val="465D62CD"/>
    <w:rsid w:val="4664BD9E"/>
    <w:rsid w:val="467A6316"/>
    <w:rsid w:val="469011F6"/>
    <w:rsid w:val="4694E125"/>
    <w:rsid w:val="46978434"/>
    <w:rsid w:val="469C4B59"/>
    <w:rsid w:val="46A9AAF2"/>
    <w:rsid w:val="46ABC4F1"/>
    <w:rsid w:val="46B53409"/>
    <w:rsid w:val="46BA26EB"/>
    <w:rsid w:val="46C3277F"/>
    <w:rsid w:val="46DE3777"/>
    <w:rsid w:val="46DFCF4D"/>
    <w:rsid w:val="46E52FAF"/>
    <w:rsid w:val="46F60C37"/>
    <w:rsid w:val="46F85883"/>
    <w:rsid w:val="46FBA1AC"/>
    <w:rsid w:val="470E50C5"/>
    <w:rsid w:val="471BDF54"/>
    <w:rsid w:val="47234506"/>
    <w:rsid w:val="4726B222"/>
    <w:rsid w:val="47346142"/>
    <w:rsid w:val="47370415"/>
    <w:rsid w:val="4763B6E0"/>
    <w:rsid w:val="476A17AF"/>
    <w:rsid w:val="476AF692"/>
    <w:rsid w:val="476E9C90"/>
    <w:rsid w:val="47820741"/>
    <w:rsid w:val="479153D0"/>
    <w:rsid w:val="47972A13"/>
    <w:rsid w:val="47B338E3"/>
    <w:rsid w:val="47B797B3"/>
    <w:rsid w:val="47BD05DC"/>
    <w:rsid w:val="47C7779E"/>
    <w:rsid w:val="47C893AC"/>
    <w:rsid w:val="47D51DCF"/>
    <w:rsid w:val="47DBAC2D"/>
    <w:rsid w:val="47E37AEA"/>
    <w:rsid w:val="47E6C537"/>
    <w:rsid w:val="47EC1297"/>
    <w:rsid w:val="47EC2F03"/>
    <w:rsid w:val="47EEE049"/>
    <w:rsid w:val="4800CABB"/>
    <w:rsid w:val="4803B21A"/>
    <w:rsid w:val="48239378"/>
    <w:rsid w:val="4832BD6E"/>
    <w:rsid w:val="483A0F55"/>
    <w:rsid w:val="4845F712"/>
    <w:rsid w:val="48552901"/>
    <w:rsid w:val="4878D923"/>
    <w:rsid w:val="489640DA"/>
    <w:rsid w:val="489BE856"/>
    <w:rsid w:val="489DEC1C"/>
    <w:rsid w:val="489EFA08"/>
    <w:rsid w:val="48A250F2"/>
    <w:rsid w:val="48A95B06"/>
    <w:rsid w:val="48ADF362"/>
    <w:rsid w:val="48B9B2A4"/>
    <w:rsid w:val="48B9FCCD"/>
    <w:rsid w:val="48BB8139"/>
    <w:rsid w:val="48CABA46"/>
    <w:rsid w:val="48D9E4BE"/>
    <w:rsid w:val="491DAA05"/>
    <w:rsid w:val="4920168B"/>
    <w:rsid w:val="49302160"/>
    <w:rsid w:val="494302BB"/>
    <w:rsid w:val="4948379D"/>
    <w:rsid w:val="4949B839"/>
    <w:rsid w:val="4952FB7B"/>
    <w:rsid w:val="4963CE93"/>
    <w:rsid w:val="49714A19"/>
    <w:rsid w:val="4973ADD9"/>
    <w:rsid w:val="497EDE39"/>
    <w:rsid w:val="499103C3"/>
    <w:rsid w:val="4991FC2D"/>
    <w:rsid w:val="4992B5E3"/>
    <w:rsid w:val="4993DEC4"/>
    <w:rsid w:val="499F065B"/>
    <w:rsid w:val="49B1B498"/>
    <w:rsid w:val="49C90D86"/>
    <w:rsid w:val="49E6B04F"/>
    <w:rsid w:val="49F73197"/>
    <w:rsid w:val="49FB338A"/>
    <w:rsid w:val="4A0E0BF9"/>
    <w:rsid w:val="4A327665"/>
    <w:rsid w:val="4A38B962"/>
    <w:rsid w:val="4A3EC2D4"/>
    <w:rsid w:val="4A46E7F2"/>
    <w:rsid w:val="4A48ACA9"/>
    <w:rsid w:val="4A4F46E5"/>
    <w:rsid w:val="4A50FBD6"/>
    <w:rsid w:val="4A594E78"/>
    <w:rsid w:val="4A66DCE1"/>
    <w:rsid w:val="4A947893"/>
    <w:rsid w:val="4A9EE7CC"/>
    <w:rsid w:val="4AAAF9A4"/>
    <w:rsid w:val="4AAC4080"/>
    <w:rsid w:val="4AAE8BA2"/>
    <w:rsid w:val="4AB3BE18"/>
    <w:rsid w:val="4AC07465"/>
    <w:rsid w:val="4AD25D2A"/>
    <w:rsid w:val="4B0619C2"/>
    <w:rsid w:val="4B08B507"/>
    <w:rsid w:val="4B431510"/>
    <w:rsid w:val="4B43E66F"/>
    <w:rsid w:val="4B49DB35"/>
    <w:rsid w:val="4B67B1CF"/>
    <w:rsid w:val="4B71D9D3"/>
    <w:rsid w:val="4B8B01B5"/>
    <w:rsid w:val="4B8E0FE7"/>
    <w:rsid w:val="4BB088EA"/>
    <w:rsid w:val="4BB3137B"/>
    <w:rsid w:val="4BB38BE6"/>
    <w:rsid w:val="4BB7E983"/>
    <w:rsid w:val="4BCBEEE8"/>
    <w:rsid w:val="4BDF4EB4"/>
    <w:rsid w:val="4BEE7A47"/>
    <w:rsid w:val="4BF0B4E1"/>
    <w:rsid w:val="4BFA1BAE"/>
    <w:rsid w:val="4C017CD4"/>
    <w:rsid w:val="4C0F7521"/>
    <w:rsid w:val="4C13EB0A"/>
    <w:rsid w:val="4C189DE2"/>
    <w:rsid w:val="4C1C37E3"/>
    <w:rsid w:val="4C1EE326"/>
    <w:rsid w:val="4C223193"/>
    <w:rsid w:val="4C2B72A9"/>
    <w:rsid w:val="4C2EE1D7"/>
    <w:rsid w:val="4C363D71"/>
    <w:rsid w:val="4C43DF72"/>
    <w:rsid w:val="4C5679C8"/>
    <w:rsid w:val="4C5C0554"/>
    <w:rsid w:val="4C680761"/>
    <w:rsid w:val="4C6A2688"/>
    <w:rsid w:val="4C79B42C"/>
    <w:rsid w:val="4C7C472D"/>
    <w:rsid w:val="4C811BB4"/>
    <w:rsid w:val="4C8EDFC1"/>
    <w:rsid w:val="4C93F127"/>
    <w:rsid w:val="4C94EFF3"/>
    <w:rsid w:val="4C96EC51"/>
    <w:rsid w:val="4C9CF269"/>
    <w:rsid w:val="4CB7A54D"/>
    <w:rsid w:val="4CC54046"/>
    <w:rsid w:val="4CCE7659"/>
    <w:rsid w:val="4CD3CA96"/>
    <w:rsid w:val="4D0A6020"/>
    <w:rsid w:val="4D197234"/>
    <w:rsid w:val="4D2CE22C"/>
    <w:rsid w:val="4D34BE6B"/>
    <w:rsid w:val="4D36DE9C"/>
    <w:rsid w:val="4D411838"/>
    <w:rsid w:val="4D443E3B"/>
    <w:rsid w:val="4D453B05"/>
    <w:rsid w:val="4D4B81FB"/>
    <w:rsid w:val="4D60B4FE"/>
    <w:rsid w:val="4D64B7D7"/>
    <w:rsid w:val="4D745D0D"/>
    <w:rsid w:val="4D7F32D9"/>
    <w:rsid w:val="4D94932C"/>
    <w:rsid w:val="4DA89959"/>
    <w:rsid w:val="4DAAABE8"/>
    <w:rsid w:val="4DB143FE"/>
    <w:rsid w:val="4DB4C606"/>
    <w:rsid w:val="4DC2467F"/>
    <w:rsid w:val="4DC801A4"/>
    <w:rsid w:val="4DD0F922"/>
    <w:rsid w:val="4DDCCEBD"/>
    <w:rsid w:val="4DEA11B8"/>
    <w:rsid w:val="4E195A7C"/>
    <w:rsid w:val="4E24C60A"/>
    <w:rsid w:val="4E294C66"/>
    <w:rsid w:val="4E327C22"/>
    <w:rsid w:val="4E33646F"/>
    <w:rsid w:val="4E376982"/>
    <w:rsid w:val="4E3B9BBA"/>
    <w:rsid w:val="4E40C9B0"/>
    <w:rsid w:val="4E467701"/>
    <w:rsid w:val="4E46D8DB"/>
    <w:rsid w:val="4E4CE51F"/>
    <w:rsid w:val="4E4E334F"/>
    <w:rsid w:val="4E509408"/>
    <w:rsid w:val="4E756957"/>
    <w:rsid w:val="4E7A8448"/>
    <w:rsid w:val="4E7C5BCE"/>
    <w:rsid w:val="4E8EAB53"/>
    <w:rsid w:val="4E9EC9DA"/>
    <w:rsid w:val="4EAA0A83"/>
    <w:rsid w:val="4EB3B62F"/>
    <w:rsid w:val="4ECCFACD"/>
    <w:rsid w:val="4ED9369B"/>
    <w:rsid w:val="4EEC3F66"/>
    <w:rsid w:val="4F0C15B8"/>
    <w:rsid w:val="4F1CC5FD"/>
    <w:rsid w:val="4F2600D6"/>
    <w:rsid w:val="4F47478B"/>
    <w:rsid w:val="4F474916"/>
    <w:rsid w:val="4F550D7A"/>
    <w:rsid w:val="4F587242"/>
    <w:rsid w:val="4F5FCE6C"/>
    <w:rsid w:val="4F9483C0"/>
    <w:rsid w:val="4FA9F7E8"/>
    <w:rsid w:val="4FC0D2E1"/>
    <w:rsid w:val="4FC60F25"/>
    <w:rsid w:val="4FDC1581"/>
    <w:rsid w:val="4FDEEFED"/>
    <w:rsid w:val="500EF8E3"/>
    <w:rsid w:val="501EDB34"/>
    <w:rsid w:val="502465B7"/>
    <w:rsid w:val="502681E0"/>
    <w:rsid w:val="5043E3DC"/>
    <w:rsid w:val="5044E790"/>
    <w:rsid w:val="50555ACC"/>
    <w:rsid w:val="5061A83D"/>
    <w:rsid w:val="50B9649B"/>
    <w:rsid w:val="50BEA03F"/>
    <w:rsid w:val="50BF9F77"/>
    <w:rsid w:val="50E371FD"/>
    <w:rsid w:val="5109903D"/>
    <w:rsid w:val="510D71A9"/>
    <w:rsid w:val="51102FC8"/>
    <w:rsid w:val="51277F50"/>
    <w:rsid w:val="51502B13"/>
    <w:rsid w:val="51508363"/>
    <w:rsid w:val="515191A7"/>
    <w:rsid w:val="515844F0"/>
    <w:rsid w:val="515BFC8B"/>
    <w:rsid w:val="51680ACF"/>
    <w:rsid w:val="516FA6F5"/>
    <w:rsid w:val="517712CA"/>
    <w:rsid w:val="51A48599"/>
    <w:rsid w:val="51A93355"/>
    <w:rsid w:val="51AC85CC"/>
    <w:rsid w:val="51B40FBE"/>
    <w:rsid w:val="51D4D894"/>
    <w:rsid w:val="521001A6"/>
    <w:rsid w:val="525F43F8"/>
    <w:rsid w:val="5260CA69"/>
    <w:rsid w:val="5261A41A"/>
    <w:rsid w:val="527BD46B"/>
    <w:rsid w:val="527D8993"/>
    <w:rsid w:val="52874C1E"/>
    <w:rsid w:val="52894895"/>
    <w:rsid w:val="52A361B7"/>
    <w:rsid w:val="52A773EC"/>
    <w:rsid w:val="52AAD67E"/>
    <w:rsid w:val="52B25F2C"/>
    <w:rsid w:val="52B77980"/>
    <w:rsid w:val="52BC9200"/>
    <w:rsid w:val="52BFA572"/>
    <w:rsid w:val="52C3D214"/>
    <w:rsid w:val="52D1A80A"/>
    <w:rsid w:val="52E61365"/>
    <w:rsid w:val="530B75DF"/>
    <w:rsid w:val="530D424F"/>
    <w:rsid w:val="5317C9E7"/>
    <w:rsid w:val="53283039"/>
    <w:rsid w:val="534CB6E5"/>
    <w:rsid w:val="535A22C2"/>
    <w:rsid w:val="53643BE5"/>
    <w:rsid w:val="536479EA"/>
    <w:rsid w:val="53B32757"/>
    <w:rsid w:val="53CCABE2"/>
    <w:rsid w:val="53CD4FF1"/>
    <w:rsid w:val="53D1866A"/>
    <w:rsid w:val="53DFB511"/>
    <w:rsid w:val="53E25C18"/>
    <w:rsid w:val="53E288EF"/>
    <w:rsid w:val="53F185B9"/>
    <w:rsid w:val="53F84A7A"/>
    <w:rsid w:val="53FD19F1"/>
    <w:rsid w:val="540E422F"/>
    <w:rsid w:val="5411AAD6"/>
    <w:rsid w:val="541CA114"/>
    <w:rsid w:val="5421870B"/>
    <w:rsid w:val="54357AB0"/>
    <w:rsid w:val="5436EBCD"/>
    <w:rsid w:val="544D82AD"/>
    <w:rsid w:val="545C7620"/>
    <w:rsid w:val="54605B77"/>
    <w:rsid w:val="5473892A"/>
    <w:rsid w:val="548294B4"/>
    <w:rsid w:val="548A1290"/>
    <w:rsid w:val="5492828A"/>
    <w:rsid w:val="5498C202"/>
    <w:rsid w:val="54A2143E"/>
    <w:rsid w:val="54AE7819"/>
    <w:rsid w:val="54C28664"/>
    <w:rsid w:val="54CF4A4D"/>
    <w:rsid w:val="54E51F01"/>
    <w:rsid w:val="54EE0D24"/>
    <w:rsid w:val="54F87FC4"/>
    <w:rsid w:val="54F90B11"/>
    <w:rsid w:val="54F96435"/>
    <w:rsid w:val="550D6615"/>
    <w:rsid w:val="55133B59"/>
    <w:rsid w:val="552BDA64"/>
    <w:rsid w:val="553B70C0"/>
    <w:rsid w:val="55517D67"/>
    <w:rsid w:val="55551D4C"/>
    <w:rsid w:val="5559A8AB"/>
    <w:rsid w:val="557E9960"/>
    <w:rsid w:val="55A52355"/>
    <w:rsid w:val="55BD656B"/>
    <w:rsid w:val="55C1C56F"/>
    <w:rsid w:val="55D8D571"/>
    <w:rsid w:val="55E6276D"/>
    <w:rsid w:val="55F2E7AC"/>
    <w:rsid w:val="56021E84"/>
    <w:rsid w:val="56146342"/>
    <w:rsid w:val="5620E218"/>
    <w:rsid w:val="562A2393"/>
    <w:rsid w:val="5632CE63"/>
    <w:rsid w:val="563C03AE"/>
    <w:rsid w:val="5653E393"/>
    <w:rsid w:val="565C795E"/>
    <w:rsid w:val="566C3A92"/>
    <w:rsid w:val="566CD668"/>
    <w:rsid w:val="567A99A2"/>
    <w:rsid w:val="568E99C4"/>
    <w:rsid w:val="56989FD3"/>
    <w:rsid w:val="569A5B65"/>
    <w:rsid w:val="56B37E29"/>
    <w:rsid w:val="56C21EEB"/>
    <w:rsid w:val="56CB416C"/>
    <w:rsid w:val="56CDD5E7"/>
    <w:rsid w:val="56DD4387"/>
    <w:rsid w:val="56E5A747"/>
    <w:rsid w:val="571C35BA"/>
    <w:rsid w:val="571D3C2E"/>
    <w:rsid w:val="57251DA6"/>
    <w:rsid w:val="573F8DDA"/>
    <w:rsid w:val="57664C73"/>
    <w:rsid w:val="577DE3CA"/>
    <w:rsid w:val="577F0775"/>
    <w:rsid w:val="57A4B8C0"/>
    <w:rsid w:val="57B29CCB"/>
    <w:rsid w:val="57B2DF40"/>
    <w:rsid w:val="57BE4236"/>
    <w:rsid w:val="57DD7261"/>
    <w:rsid w:val="57E66C88"/>
    <w:rsid w:val="57F3DAAB"/>
    <w:rsid w:val="57F680E2"/>
    <w:rsid w:val="5816BA7E"/>
    <w:rsid w:val="582CC854"/>
    <w:rsid w:val="5833BE7F"/>
    <w:rsid w:val="5838CD86"/>
    <w:rsid w:val="585820F7"/>
    <w:rsid w:val="587216F4"/>
    <w:rsid w:val="587E2803"/>
    <w:rsid w:val="58899359"/>
    <w:rsid w:val="5898C85C"/>
    <w:rsid w:val="589F9DD3"/>
    <w:rsid w:val="58A20C1D"/>
    <w:rsid w:val="58D67662"/>
    <w:rsid w:val="58DA2D55"/>
    <w:rsid w:val="58DE5FCF"/>
    <w:rsid w:val="58E02ACB"/>
    <w:rsid w:val="590335B1"/>
    <w:rsid w:val="5907BB4D"/>
    <w:rsid w:val="59167FA9"/>
    <w:rsid w:val="592C81D2"/>
    <w:rsid w:val="592EE360"/>
    <w:rsid w:val="59346A2F"/>
    <w:rsid w:val="5944C8C1"/>
    <w:rsid w:val="5969FD23"/>
    <w:rsid w:val="596B7488"/>
    <w:rsid w:val="5974DF6C"/>
    <w:rsid w:val="597FD6DB"/>
    <w:rsid w:val="598A6269"/>
    <w:rsid w:val="599B7F14"/>
    <w:rsid w:val="59AB85D5"/>
    <w:rsid w:val="59C1B1B6"/>
    <w:rsid w:val="59C39F59"/>
    <w:rsid w:val="59C42FDE"/>
    <w:rsid w:val="59E114A0"/>
    <w:rsid w:val="59E4D43E"/>
    <w:rsid w:val="59F862FF"/>
    <w:rsid w:val="5A00CA6B"/>
    <w:rsid w:val="5A0B6013"/>
    <w:rsid w:val="5A2C0E29"/>
    <w:rsid w:val="5A38CCC6"/>
    <w:rsid w:val="5A465999"/>
    <w:rsid w:val="5A47100C"/>
    <w:rsid w:val="5A5E4E71"/>
    <w:rsid w:val="5A6BE499"/>
    <w:rsid w:val="5A6D06F8"/>
    <w:rsid w:val="5A6D700C"/>
    <w:rsid w:val="5A794BD4"/>
    <w:rsid w:val="5A79F49E"/>
    <w:rsid w:val="5A856DCB"/>
    <w:rsid w:val="5A879666"/>
    <w:rsid w:val="5AB911B7"/>
    <w:rsid w:val="5ADD9A31"/>
    <w:rsid w:val="5ADE8479"/>
    <w:rsid w:val="5ADEDE48"/>
    <w:rsid w:val="5AFCCD00"/>
    <w:rsid w:val="5B06E88F"/>
    <w:rsid w:val="5B116A38"/>
    <w:rsid w:val="5B117D79"/>
    <w:rsid w:val="5B1EA5ED"/>
    <w:rsid w:val="5B24B99A"/>
    <w:rsid w:val="5B32A01D"/>
    <w:rsid w:val="5B33AD96"/>
    <w:rsid w:val="5B349656"/>
    <w:rsid w:val="5B350515"/>
    <w:rsid w:val="5B38CC7F"/>
    <w:rsid w:val="5B447D47"/>
    <w:rsid w:val="5B45721D"/>
    <w:rsid w:val="5B463A5B"/>
    <w:rsid w:val="5B634A79"/>
    <w:rsid w:val="5B6EA553"/>
    <w:rsid w:val="5B705C43"/>
    <w:rsid w:val="5B771F62"/>
    <w:rsid w:val="5B801B5D"/>
    <w:rsid w:val="5B8DC6A2"/>
    <w:rsid w:val="5B8E8F65"/>
    <w:rsid w:val="5BCE3A95"/>
    <w:rsid w:val="5BD94522"/>
    <w:rsid w:val="5BE6093A"/>
    <w:rsid w:val="5BF8CF11"/>
    <w:rsid w:val="5C068585"/>
    <w:rsid w:val="5C1791BB"/>
    <w:rsid w:val="5C1A634E"/>
    <w:rsid w:val="5C2411E2"/>
    <w:rsid w:val="5C4E7D7A"/>
    <w:rsid w:val="5C50D151"/>
    <w:rsid w:val="5C5D0559"/>
    <w:rsid w:val="5C6B3F03"/>
    <w:rsid w:val="5C6B88E9"/>
    <w:rsid w:val="5C6BE308"/>
    <w:rsid w:val="5C73E3B5"/>
    <w:rsid w:val="5C76CB9D"/>
    <w:rsid w:val="5C76D71A"/>
    <w:rsid w:val="5C882A8B"/>
    <w:rsid w:val="5C8BE9B5"/>
    <w:rsid w:val="5CABF242"/>
    <w:rsid w:val="5CB18CF9"/>
    <w:rsid w:val="5CC39629"/>
    <w:rsid w:val="5CDE74C0"/>
    <w:rsid w:val="5CE15332"/>
    <w:rsid w:val="5CFB2C77"/>
    <w:rsid w:val="5D03BA27"/>
    <w:rsid w:val="5D124F68"/>
    <w:rsid w:val="5D1E706E"/>
    <w:rsid w:val="5D2D74B5"/>
    <w:rsid w:val="5D402E9C"/>
    <w:rsid w:val="5D4B0B5B"/>
    <w:rsid w:val="5D4DB36F"/>
    <w:rsid w:val="5D552576"/>
    <w:rsid w:val="5D62A6C3"/>
    <w:rsid w:val="5D81D797"/>
    <w:rsid w:val="5D97AAAE"/>
    <w:rsid w:val="5DB53CDE"/>
    <w:rsid w:val="5DB72C3F"/>
    <w:rsid w:val="5DB7D7C9"/>
    <w:rsid w:val="5DC95C3E"/>
    <w:rsid w:val="5DCBEC2F"/>
    <w:rsid w:val="5DD565FE"/>
    <w:rsid w:val="5DE644C7"/>
    <w:rsid w:val="5DEE1DF5"/>
    <w:rsid w:val="5E007B5C"/>
    <w:rsid w:val="5E03130E"/>
    <w:rsid w:val="5E10B0C6"/>
    <w:rsid w:val="5E1613F6"/>
    <w:rsid w:val="5E19E6BD"/>
    <w:rsid w:val="5E1F252E"/>
    <w:rsid w:val="5E20E02C"/>
    <w:rsid w:val="5E2A7B01"/>
    <w:rsid w:val="5E5CCDB3"/>
    <w:rsid w:val="5E5EB9D7"/>
    <w:rsid w:val="5EC00ADB"/>
    <w:rsid w:val="5EC22444"/>
    <w:rsid w:val="5EC9A238"/>
    <w:rsid w:val="5EE1529C"/>
    <w:rsid w:val="5EFC662F"/>
    <w:rsid w:val="5F07E149"/>
    <w:rsid w:val="5F146A4B"/>
    <w:rsid w:val="5F1E98D9"/>
    <w:rsid w:val="5F2BD7F1"/>
    <w:rsid w:val="5F2D04EA"/>
    <w:rsid w:val="5F37E003"/>
    <w:rsid w:val="5F53C32D"/>
    <w:rsid w:val="5F5CEE3A"/>
    <w:rsid w:val="5F689714"/>
    <w:rsid w:val="5F6FBE7E"/>
    <w:rsid w:val="5F78455C"/>
    <w:rsid w:val="5F881424"/>
    <w:rsid w:val="5F887A8E"/>
    <w:rsid w:val="5F88E834"/>
    <w:rsid w:val="5F961476"/>
    <w:rsid w:val="5F9D4D8C"/>
    <w:rsid w:val="5FA0FD04"/>
    <w:rsid w:val="5FA1AB58"/>
    <w:rsid w:val="5FA960EB"/>
    <w:rsid w:val="5FC64383"/>
    <w:rsid w:val="5FCF00BD"/>
    <w:rsid w:val="5FD8F3B6"/>
    <w:rsid w:val="5FE94F44"/>
    <w:rsid w:val="5FF636DC"/>
    <w:rsid w:val="5FF6E773"/>
    <w:rsid w:val="5FF91C24"/>
    <w:rsid w:val="5FFCE83C"/>
    <w:rsid w:val="600F730E"/>
    <w:rsid w:val="60280CB1"/>
    <w:rsid w:val="60337224"/>
    <w:rsid w:val="6034945A"/>
    <w:rsid w:val="603A423F"/>
    <w:rsid w:val="604F6C96"/>
    <w:rsid w:val="606229D1"/>
    <w:rsid w:val="60632E7E"/>
    <w:rsid w:val="60673E14"/>
    <w:rsid w:val="606DDFBD"/>
    <w:rsid w:val="607593AF"/>
    <w:rsid w:val="607B270D"/>
    <w:rsid w:val="6091CADC"/>
    <w:rsid w:val="60A8C0DB"/>
    <w:rsid w:val="60AA4490"/>
    <w:rsid w:val="60B30672"/>
    <w:rsid w:val="60B3E215"/>
    <w:rsid w:val="60B77469"/>
    <w:rsid w:val="60BE1C83"/>
    <w:rsid w:val="60D3AF7D"/>
    <w:rsid w:val="60F44E17"/>
    <w:rsid w:val="60F86640"/>
    <w:rsid w:val="6114D910"/>
    <w:rsid w:val="611F7B6F"/>
    <w:rsid w:val="612A7ED4"/>
    <w:rsid w:val="61453038"/>
    <w:rsid w:val="615B6AC8"/>
    <w:rsid w:val="6181E807"/>
    <w:rsid w:val="618AF03F"/>
    <w:rsid w:val="61A0215C"/>
    <w:rsid w:val="61B4D2B3"/>
    <w:rsid w:val="61B62BBD"/>
    <w:rsid w:val="61D2A686"/>
    <w:rsid w:val="61DAFAD0"/>
    <w:rsid w:val="61E15516"/>
    <w:rsid w:val="61E66EFC"/>
    <w:rsid w:val="61E95211"/>
    <w:rsid w:val="61E967E6"/>
    <w:rsid w:val="61F5BF0D"/>
    <w:rsid w:val="61F643D1"/>
    <w:rsid w:val="61FE1026"/>
    <w:rsid w:val="6208B0C2"/>
    <w:rsid w:val="620AE737"/>
    <w:rsid w:val="6222B422"/>
    <w:rsid w:val="62243C33"/>
    <w:rsid w:val="6254FAF2"/>
    <w:rsid w:val="62561002"/>
    <w:rsid w:val="625E872D"/>
    <w:rsid w:val="6260DD7F"/>
    <w:rsid w:val="62780676"/>
    <w:rsid w:val="627919FF"/>
    <w:rsid w:val="627F1997"/>
    <w:rsid w:val="629AB53A"/>
    <w:rsid w:val="629D968E"/>
    <w:rsid w:val="62A08E62"/>
    <w:rsid w:val="62C976D4"/>
    <w:rsid w:val="62CAAC4B"/>
    <w:rsid w:val="62D36774"/>
    <w:rsid w:val="62D8CEB7"/>
    <w:rsid w:val="62EAD77E"/>
    <w:rsid w:val="6316EB68"/>
    <w:rsid w:val="631FB5E1"/>
    <w:rsid w:val="6322FC3A"/>
    <w:rsid w:val="632A7D27"/>
    <w:rsid w:val="633C353E"/>
    <w:rsid w:val="633C810D"/>
    <w:rsid w:val="634B3796"/>
    <w:rsid w:val="635726AF"/>
    <w:rsid w:val="636EA739"/>
    <w:rsid w:val="6372E99E"/>
    <w:rsid w:val="638B7909"/>
    <w:rsid w:val="63B9191C"/>
    <w:rsid w:val="63BFC48B"/>
    <w:rsid w:val="63D08BD2"/>
    <w:rsid w:val="63D48095"/>
    <w:rsid w:val="63DB0536"/>
    <w:rsid w:val="63EE43FB"/>
    <w:rsid w:val="63EE9A08"/>
    <w:rsid w:val="63FA9150"/>
    <w:rsid w:val="63FF8D98"/>
    <w:rsid w:val="64066D44"/>
    <w:rsid w:val="640ACF45"/>
    <w:rsid w:val="6417E982"/>
    <w:rsid w:val="64227670"/>
    <w:rsid w:val="64288DEA"/>
    <w:rsid w:val="642AF19A"/>
    <w:rsid w:val="643E9F58"/>
    <w:rsid w:val="644910C0"/>
    <w:rsid w:val="645ABB88"/>
    <w:rsid w:val="64A2D6A2"/>
    <w:rsid w:val="64AC6C7B"/>
    <w:rsid w:val="64C3FD34"/>
    <w:rsid w:val="64D523CF"/>
    <w:rsid w:val="64D77E6D"/>
    <w:rsid w:val="64D8EDBE"/>
    <w:rsid w:val="64DCEA27"/>
    <w:rsid w:val="64E0A922"/>
    <w:rsid w:val="64F1EB67"/>
    <w:rsid w:val="64F3AE56"/>
    <w:rsid w:val="64FED46D"/>
    <w:rsid w:val="65026B91"/>
    <w:rsid w:val="65075C32"/>
    <w:rsid w:val="65309215"/>
    <w:rsid w:val="65409B4A"/>
    <w:rsid w:val="654BB497"/>
    <w:rsid w:val="65774ECB"/>
    <w:rsid w:val="658C4604"/>
    <w:rsid w:val="659DB7E7"/>
    <w:rsid w:val="65A068E4"/>
    <w:rsid w:val="65A944DF"/>
    <w:rsid w:val="65AA0132"/>
    <w:rsid w:val="65AA142B"/>
    <w:rsid w:val="65ADEBBD"/>
    <w:rsid w:val="65B61769"/>
    <w:rsid w:val="65CBD098"/>
    <w:rsid w:val="65ECFED9"/>
    <w:rsid w:val="65EFB779"/>
    <w:rsid w:val="65FDFA50"/>
    <w:rsid w:val="65FF0570"/>
    <w:rsid w:val="66153889"/>
    <w:rsid w:val="6645C66A"/>
    <w:rsid w:val="6646E1C2"/>
    <w:rsid w:val="665394F6"/>
    <w:rsid w:val="6657C5DC"/>
    <w:rsid w:val="665AA5B4"/>
    <w:rsid w:val="665F7BAF"/>
    <w:rsid w:val="6661E34A"/>
    <w:rsid w:val="66628F18"/>
    <w:rsid w:val="66630678"/>
    <w:rsid w:val="666602C5"/>
    <w:rsid w:val="6668FCA3"/>
    <w:rsid w:val="668A5F46"/>
    <w:rsid w:val="668E64C4"/>
    <w:rsid w:val="6692D867"/>
    <w:rsid w:val="669E47FE"/>
    <w:rsid w:val="66AB4C1D"/>
    <w:rsid w:val="66C5B703"/>
    <w:rsid w:val="66CB7773"/>
    <w:rsid w:val="66D07729"/>
    <w:rsid w:val="66DCACAB"/>
    <w:rsid w:val="66E140D0"/>
    <w:rsid w:val="670D2062"/>
    <w:rsid w:val="672E8ECB"/>
    <w:rsid w:val="67398B69"/>
    <w:rsid w:val="673A1E55"/>
    <w:rsid w:val="673C40CC"/>
    <w:rsid w:val="673F1F84"/>
    <w:rsid w:val="674AF926"/>
    <w:rsid w:val="675CFDFB"/>
    <w:rsid w:val="67628556"/>
    <w:rsid w:val="6764263D"/>
    <w:rsid w:val="67672CB9"/>
    <w:rsid w:val="6768C3D3"/>
    <w:rsid w:val="676F1C30"/>
    <w:rsid w:val="67723A8B"/>
    <w:rsid w:val="6773E146"/>
    <w:rsid w:val="6785BA2D"/>
    <w:rsid w:val="67860109"/>
    <w:rsid w:val="67883DEC"/>
    <w:rsid w:val="67A03CD1"/>
    <w:rsid w:val="67A116F0"/>
    <w:rsid w:val="67B2ACFB"/>
    <w:rsid w:val="67B523A0"/>
    <w:rsid w:val="67C6AD8E"/>
    <w:rsid w:val="67C74C55"/>
    <w:rsid w:val="67EE81B4"/>
    <w:rsid w:val="67F14601"/>
    <w:rsid w:val="67F1D382"/>
    <w:rsid w:val="67F6B5C2"/>
    <w:rsid w:val="67FE08A3"/>
    <w:rsid w:val="68071CF0"/>
    <w:rsid w:val="6835BB0A"/>
    <w:rsid w:val="6839C9C4"/>
    <w:rsid w:val="684F17C6"/>
    <w:rsid w:val="685B7527"/>
    <w:rsid w:val="686A6F07"/>
    <w:rsid w:val="686BFDAC"/>
    <w:rsid w:val="686E34BC"/>
    <w:rsid w:val="68B08D39"/>
    <w:rsid w:val="68C09D57"/>
    <w:rsid w:val="68CC1BDF"/>
    <w:rsid w:val="68DD82A8"/>
    <w:rsid w:val="68F8DF1B"/>
    <w:rsid w:val="690E6EBD"/>
    <w:rsid w:val="691800FB"/>
    <w:rsid w:val="691B544C"/>
    <w:rsid w:val="692898E0"/>
    <w:rsid w:val="6937617E"/>
    <w:rsid w:val="69389568"/>
    <w:rsid w:val="6939E4E9"/>
    <w:rsid w:val="694A9914"/>
    <w:rsid w:val="694E410D"/>
    <w:rsid w:val="6954C7E1"/>
    <w:rsid w:val="69794467"/>
    <w:rsid w:val="6989F1E7"/>
    <w:rsid w:val="69905EDE"/>
    <w:rsid w:val="699502E3"/>
    <w:rsid w:val="6996D73B"/>
    <w:rsid w:val="6999AD9E"/>
    <w:rsid w:val="699BF910"/>
    <w:rsid w:val="69AB2AA4"/>
    <w:rsid w:val="69AF749A"/>
    <w:rsid w:val="69AFD0C1"/>
    <w:rsid w:val="69B9D88F"/>
    <w:rsid w:val="69BBC1EB"/>
    <w:rsid w:val="69D3257D"/>
    <w:rsid w:val="69E91EB3"/>
    <w:rsid w:val="69E9AA96"/>
    <w:rsid w:val="69F775B8"/>
    <w:rsid w:val="69FFC5C1"/>
    <w:rsid w:val="6A0BB7C0"/>
    <w:rsid w:val="6A16FE3E"/>
    <w:rsid w:val="6A1B9B50"/>
    <w:rsid w:val="6A291709"/>
    <w:rsid w:val="6A30783D"/>
    <w:rsid w:val="6A33670C"/>
    <w:rsid w:val="6A36DA4B"/>
    <w:rsid w:val="6A43CC8B"/>
    <w:rsid w:val="6A484160"/>
    <w:rsid w:val="6A57C686"/>
    <w:rsid w:val="6A5C2E08"/>
    <w:rsid w:val="6A5D5A35"/>
    <w:rsid w:val="6A60884D"/>
    <w:rsid w:val="6A7DF527"/>
    <w:rsid w:val="6A9EF906"/>
    <w:rsid w:val="6AA40D9A"/>
    <w:rsid w:val="6AC220A8"/>
    <w:rsid w:val="6AD05BF3"/>
    <w:rsid w:val="6AE03503"/>
    <w:rsid w:val="6AE226A6"/>
    <w:rsid w:val="6AF119BF"/>
    <w:rsid w:val="6AF1E2E5"/>
    <w:rsid w:val="6B037F66"/>
    <w:rsid w:val="6B180BAA"/>
    <w:rsid w:val="6B367DCE"/>
    <w:rsid w:val="6B3A90EC"/>
    <w:rsid w:val="6B557A9E"/>
    <w:rsid w:val="6B55949A"/>
    <w:rsid w:val="6B8A22D6"/>
    <w:rsid w:val="6B9E4C50"/>
    <w:rsid w:val="6BA021C3"/>
    <w:rsid w:val="6BA19F87"/>
    <w:rsid w:val="6BA58C38"/>
    <w:rsid w:val="6BB88102"/>
    <w:rsid w:val="6BBFF7A3"/>
    <w:rsid w:val="6BC74546"/>
    <w:rsid w:val="6BDD72F8"/>
    <w:rsid w:val="6BE992BD"/>
    <w:rsid w:val="6BFA4156"/>
    <w:rsid w:val="6BFC2567"/>
    <w:rsid w:val="6C0B9A24"/>
    <w:rsid w:val="6C11AE7D"/>
    <w:rsid w:val="6C1EA721"/>
    <w:rsid w:val="6C20C333"/>
    <w:rsid w:val="6C20E776"/>
    <w:rsid w:val="6C24D3A5"/>
    <w:rsid w:val="6C2F6FC0"/>
    <w:rsid w:val="6C39D8BC"/>
    <w:rsid w:val="6C4E7BD9"/>
    <w:rsid w:val="6C66AF2A"/>
    <w:rsid w:val="6C6BBCCD"/>
    <w:rsid w:val="6C85EBE5"/>
    <w:rsid w:val="6CA6140C"/>
    <w:rsid w:val="6CABB5BC"/>
    <w:rsid w:val="6CB7B799"/>
    <w:rsid w:val="6CBFE4A1"/>
    <w:rsid w:val="6CC2D138"/>
    <w:rsid w:val="6CD53A80"/>
    <w:rsid w:val="6CDBEABE"/>
    <w:rsid w:val="6CDC5EDC"/>
    <w:rsid w:val="6CE7FC37"/>
    <w:rsid w:val="6CFC4246"/>
    <w:rsid w:val="6D0133C8"/>
    <w:rsid w:val="6D0FA48F"/>
    <w:rsid w:val="6D13066D"/>
    <w:rsid w:val="6D1387E7"/>
    <w:rsid w:val="6D1610E6"/>
    <w:rsid w:val="6D24A26E"/>
    <w:rsid w:val="6D3F8823"/>
    <w:rsid w:val="6D473DC1"/>
    <w:rsid w:val="6D4DC38E"/>
    <w:rsid w:val="6D721A71"/>
    <w:rsid w:val="6D74B6BC"/>
    <w:rsid w:val="6D759B04"/>
    <w:rsid w:val="6D8B698A"/>
    <w:rsid w:val="6D9D6301"/>
    <w:rsid w:val="6DA8B380"/>
    <w:rsid w:val="6DA95D25"/>
    <w:rsid w:val="6DAC7950"/>
    <w:rsid w:val="6DAF3D13"/>
    <w:rsid w:val="6DB44145"/>
    <w:rsid w:val="6DB7E189"/>
    <w:rsid w:val="6DBF57BA"/>
    <w:rsid w:val="6DEE01DA"/>
    <w:rsid w:val="6DF042E5"/>
    <w:rsid w:val="6E0AEEF9"/>
    <w:rsid w:val="6E0CB9FB"/>
    <w:rsid w:val="6E1024AE"/>
    <w:rsid w:val="6E1E2763"/>
    <w:rsid w:val="6E205E8E"/>
    <w:rsid w:val="6E21E042"/>
    <w:rsid w:val="6E46E801"/>
    <w:rsid w:val="6E49B83A"/>
    <w:rsid w:val="6E55C833"/>
    <w:rsid w:val="6E65E829"/>
    <w:rsid w:val="6E692594"/>
    <w:rsid w:val="6E6A45B5"/>
    <w:rsid w:val="6E73A86C"/>
    <w:rsid w:val="6E7A077D"/>
    <w:rsid w:val="6E7ABB9E"/>
    <w:rsid w:val="6E84F3E3"/>
    <w:rsid w:val="6E8E86D0"/>
    <w:rsid w:val="6E8F139B"/>
    <w:rsid w:val="6E91DC99"/>
    <w:rsid w:val="6E98A75F"/>
    <w:rsid w:val="6E9EC01B"/>
    <w:rsid w:val="6EA2D06F"/>
    <w:rsid w:val="6EA7D45B"/>
    <w:rsid w:val="6EB44BD7"/>
    <w:rsid w:val="6EC4713B"/>
    <w:rsid w:val="6ECB2F7F"/>
    <w:rsid w:val="6ED966BE"/>
    <w:rsid w:val="6EE1AAE4"/>
    <w:rsid w:val="6EE851E2"/>
    <w:rsid w:val="6EF48706"/>
    <w:rsid w:val="6EF728B9"/>
    <w:rsid w:val="6EFF1D8C"/>
    <w:rsid w:val="6F104EC3"/>
    <w:rsid w:val="6F279144"/>
    <w:rsid w:val="6F31F821"/>
    <w:rsid w:val="6F42638C"/>
    <w:rsid w:val="6F6840D7"/>
    <w:rsid w:val="6F7B3697"/>
    <w:rsid w:val="6F90BCEB"/>
    <w:rsid w:val="6F966837"/>
    <w:rsid w:val="6FB3DF3A"/>
    <w:rsid w:val="6FC18FB4"/>
    <w:rsid w:val="6FC53581"/>
    <w:rsid w:val="6FCA9B4E"/>
    <w:rsid w:val="6FDD90DC"/>
    <w:rsid w:val="6FE17837"/>
    <w:rsid w:val="70218932"/>
    <w:rsid w:val="7021C573"/>
    <w:rsid w:val="702CE691"/>
    <w:rsid w:val="7046765E"/>
    <w:rsid w:val="7061A884"/>
    <w:rsid w:val="7061BE88"/>
    <w:rsid w:val="7075B3C2"/>
    <w:rsid w:val="7079F6CE"/>
    <w:rsid w:val="70A7550C"/>
    <w:rsid w:val="70AFA182"/>
    <w:rsid w:val="70B85E70"/>
    <w:rsid w:val="70C43574"/>
    <w:rsid w:val="70D45340"/>
    <w:rsid w:val="70E51446"/>
    <w:rsid w:val="70F0FD51"/>
    <w:rsid w:val="70F24A84"/>
    <w:rsid w:val="70F561F5"/>
    <w:rsid w:val="70F8B1F1"/>
    <w:rsid w:val="70FB925A"/>
    <w:rsid w:val="70FE0EE6"/>
    <w:rsid w:val="710FD146"/>
    <w:rsid w:val="711063AE"/>
    <w:rsid w:val="711A075E"/>
    <w:rsid w:val="712A3E37"/>
    <w:rsid w:val="7135522D"/>
    <w:rsid w:val="713F40D7"/>
    <w:rsid w:val="7146FE1B"/>
    <w:rsid w:val="71480F8C"/>
    <w:rsid w:val="7150A8F4"/>
    <w:rsid w:val="71772EDE"/>
    <w:rsid w:val="71A5820F"/>
    <w:rsid w:val="71BAA83B"/>
    <w:rsid w:val="71C5BD2C"/>
    <w:rsid w:val="71CBB1D3"/>
    <w:rsid w:val="71E5DB34"/>
    <w:rsid w:val="71EE545E"/>
    <w:rsid w:val="71F70FF3"/>
    <w:rsid w:val="721634EF"/>
    <w:rsid w:val="72225E15"/>
    <w:rsid w:val="722BD72D"/>
    <w:rsid w:val="7233AFCD"/>
    <w:rsid w:val="724109C3"/>
    <w:rsid w:val="7246D684"/>
    <w:rsid w:val="7247E2F0"/>
    <w:rsid w:val="724F7E62"/>
    <w:rsid w:val="7255F14C"/>
    <w:rsid w:val="7257A3EE"/>
    <w:rsid w:val="7265FA6B"/>
    <w:rsid w:val="726C2AF2"/>
    <w:rsid w:val="726C5ECB"/>
    <w:rsid w:val="72732FAE"/>
    <w:rsid w:val="728A2F8D"/>
    <w:rsid w:val="72C61CBF"/>
    <w:rsid w:val="72DB7F95"/>
    <w:rsid w:val="72E1FDAD"/>
    <w:rsid w:val="72E21B62"/>
    <w:rsid w:val="72E3514C"/>
    <w:rsid w:val="72E43B9A"/>
    <w:rsid w:val="72F119CE"/>
    <w:rsid w:val="72F93BDA"/>
    <w:rsid w:val="7302F068"/>
    <w:rsid w:val="73162ED0"/>
    <w:rsid w:val="731933FC"/>
    <w:rsid w:val="731AADB5"/>
    <w:rsid w:val="73246112"/>
    <w:rsid w:val="73360F3F"/>
    <w:rsid w:val="7347F4EE"/>
    <w:rsid w:val="73503E36"/>
    <w:rsid w:val="7368092D"/>
    <w:rsid w:val="73885BCC"/>
    <w:rsid w:val="738FC0F1"/>
    <w:rsid w:val="738FDFDC"/>
    <w:rsid w:val="7396EC4F"/>
    <w:rsid w:val="739E327F"/>
    <w:rsid w:val="73A0E76E"/>
    <w:rsid w:val="73A6D2AC"/>
    <w:rsid w:val="73ACFD1E"/>
    <w:rsid w:val="73B4A9BD"/>
    <w:rsid w:val="73B6BF71"/>
    <w:rsid w:val="73BF727E"/>
    <w:rsid w:val="73C4D8C4"/>
    <w:rsid w:val="73CAFCE9"/>
    <w:rsid w:val="73DA93A1"/>
    <w:rsid w:val="73E277F3"/>
    <w:rsid w:val="73E54069"/>
    <w:rsid w:val="73E8DD86"/>
    <w:rsid w:val="73EF6902"/>
    <w:rsid w:val="73FA768C"/>
    <w:rsid w:val="7402FC5E"/>
    <w:rsid w:val="74053794"/>
    <w:rsid w:val="74063FD0"/>
    <w:rsid w:val="741A60A5"/>
    <w:rsid w:val="741AA1CE"/>
    <w:rsid w:val="7428B91D"/>
    <w:rsid w:val="7428E118"/>
    <w:rsid w:val="743A2692"/>
    <w:rsid w:val="74413D48"/>
    <w:rsid w:val="74634B75"/>
    <w:rsid w:val="747433A9"/>
    <w:rsid w:val="7479DC47"/>
    <w:rsid w:val="7488B617"/>
    <w:rsid w:val="74B0ADDE"/>
    <w:rsid w:val="74D9BBE7"/>
    <w:rsid w:val="75348273"/>
    <w:rsid w:val="75397FFB"/>
    <w:rsid w:val="755C7BDC"/>
    <w:rsid w:val="755C8BE6"/>
    <w:rsid w:val="756DE851"/>
    <w:rsid w:val="7577F8B2"/>
    <w:rsid w:val="7581925B"/>
    <w:rsid w:val="7582F39C"/>
    <w:rsid w:val="759B1583"/>
    <w:rsid w:val="75AFC12A"/>
    <w:rsid w:val="75B25A46"/>
    <w:rsid w:val="75B6E790"/>
    <w:rsid w:val="75B6FC48"/>
    <w:rsid w:val="75C722C9"/>
    <w:rsid w:val="75DA7293"/>
    <w:rsid w:val="75DE7507"/>
    <w:rsid w:val="75EEC3BC"/>
    <w:rsid w:val="75FE26B9"/>
    <w:rsid w:val="75FE3300"/>
    <w:rsid w:val="7679432B"/>
    <w:rsid w:val="769BC43A"/>
    <w:rsid w:val="76BD8B0E"/>
    <w:rsid w:val="76E13E8F"/>
    <w:rsid w:val="76E4C2EA"/>
    <w:rsid w:val="76F6CAFC"/>
    <w:rsid w:val="76FC81AC"/>
    <w:rsid w:val="76FD9378"/>
    <w:rsid w:val="770C72C0"/>
    <w:rsid w:val="77188A56"/>
    <w:rsid w:val="771D46F1"/>
    <w:rsid w:val="771F7292"/>
    <w:rsid w:val="7740346E"/>
    <w:rsid w:val="77663495"/>
    <w:rsid w:val="7772CA03"/>
    <w:rsid w:val="77819A21"/>
    <w:rsid w:val="77886135"/>
    <w:rsid w:val="778DACDE"/>
    <w:rsid w:val="77B4B813"/>
    <w:rsid w:val="77CD7014"/>
    <w:rsid w:val="77CDE9D1"/>
    <w:rsid w:val="77D790CA"/>
    <w:rsid w:val="77D995A6"/>
    <w:rsid w:val="77F5F6F3"/>
    <w:rsid w:val="77F6327B"/>
    <w:rsid w:val="780372E4"/>
    <w:rsid w:val="780BBBA9"/>
    <w:rsid w:val="780EC2C7"/>
    <w:rsid w:val="7817F432"/>
    <w:rsid w:val="781DF1C4"/>
    <w:rsid w:val="783B1076"/>
    <w:rsid w:val="78517600"/>
    <w:rsid w:val="78575972"/>
    <w:rsid w:val="78631739"/>
    <w:rsid w:val="7881D0B4"/>
    <w:rsid w:val="78847233"/>
    <w:rsid w:val="7891F4BB"/>
    <w:rsid w:val="78AD00F0"/>
    <w:rsid w:val="78B361F2"/>
    <w:rsid w:val="78B3E427"/>
    <w:rsid w:val="78C302ED"/>
    <w:rsid w:val="78D0CB92"/>
    <w:rsid w:val="78D2EB12"/>
    <w:rsid w:val="78FD6397"/>
    <w:rsid w:val="79218C3C"/>
    <w:rsid w:val="792A7DB2"/>
    <w:rsid w:val="7949C832"/>
    <w:rsid w:val="794C9A80"/>
    <w:rsid w:val="79784A6C"/>
    <w:rsid w:val="797AAABE"/>
    <w:rsid w:val="797C6E52"/>
    <w:rsid w:val="7987584C"/>
    <w:rsid w:val="79937B94"/>
    <w:rsid w:val="79942A3A"/>
    <w:rsid w:val="799A7E5E"/>
    <w:rsid w:val="79A6CD0B"/>
    <w:rsid w:val="79C0F4EA"/>
    <w:rsid w:val="79C82DDF"/>
    <w:rsid w:val="79DD0617"/>
    <w:rsid w:val="79E31DCA"/>
    <w:rsid w:val="79E6EA86"/>
    <w:rsid w:val="7A01C897"/>
    <w:rsid w:val="7A049160"/>
    <w:rsid w:val="7A0B95A8"/>
    <w:rsid w:val="7A100B47"/>
    <w:rsid w:val="7A20808D"/>
    <w:rsid w:val="7A208317"/>
    <w:rsid w:val="7A29C042"/>
    <w:rsid w:val="7A330BE0"/>
    <w:rsid w:val="7A4C2FFA"/>
    <w:rsid w:val="7A59F42C"/>
    <w:rsid w:val="7A5D1284"/>
    <w:rsid w:val="7A686EF2"/>
    <w:rsid w:val="7A6B1AA8"/>
    <w:rsid w:val="7A6D927A"/>
    <w:rsid w:val="7A709FD1"/>
    <w:rsid w:val="7AA1509F"/>
    <w:rsid w:val="7AB3E829"/>
    <w:rsid w:val="7AC086C0"/>
    <w:rsid w:val="7AD169F1"/>
    <w:rsid w:val="7AE3963C"/>
    <w:rsid w:val="7B09BB58"/>
    <w:rsid w:val="7B1685FA"/>
    <w:rsid w:val="7B23EAAA"/>
    <w:rsid w:val="7B5AAB91"/>
    <w:rsid w:val="7B60C283"/>
    <w:rsid w:val="7B712713"/>
    <w:rsid w:val="7B959F2C"/>
    <w:rsid w:val="7B976CAA"/>
    <w:rsid w:val="7BA0E700"/>
    <w:rsid w:val="7BAF847C"/>
    <w:rsid w:val="7BAF8F40"/>
    <w:rsid w:val="7BC2D95C"/>
    <w:rsid w:val="7BCAFFDD"/>
    <w:rsid w:val="7BFC0FB2"/>
    <w:rsid w:val="7C022067"/>
    <w:rsid w:val="7C124F26"/>
    <w:rsid w:val="7C27265E"/>
    <w:rsid w:val="7C369BCB"/>
    <w:rsid w:val="7C44B191"/>
    <w:rsid w:val="7C4AF6AB"/>
    <w:rsid w:val="7C51DA2E"/>
    <w:rsid w:val="7C587FDA"/>
    <w:rsid w:val="7C64F143"/>
    <w:rsid w:val="7C6690D8"/>
    <w:rsid w:val="7C6FED00"/>
    <w:rsid w:val="7C81483C"/>
    <w:rsid w:val="7CA907CD"/>
    <w:rsid w:val="7CC00BE7"/>
    <w:rsid w:val="7CECE665"/>
    <w:rsid w:val="7CF47DFB"/>
    <w:rsid w:val="7D03C713"/>
    <w:rsid w:val="7D065CC4"/>
    <w:rsid w:val="7D1C3B0C"/>
    <w:rsid w:val="7D27E288"/>
    <w:rsid w:val="7D4AD20D"/>
    <w:rsid w:val="7D4AF730"/>
    <w:rsid w:val="7D5EE1A6"/>
    <w:rsid w:val="7D64CFAD"/>
    <w:rsid w:val="7D6EC565"/>
    <w:rsid w:val="7D70A057"/>
    <w:rsid w:val="7D8CAC44"/>
    <w:rsid w:val="7DA103E3"/>
    <w:rsid w:val="7DAF6796"/>
    <w:rsid w:val="7DC50B71"/>
    <w:rsid w:val="7DC5357F"/>
    <w:rsid w:val="7DD64AA5"/>
    <w:rsid w:val="7DDBEBF7"/>
    <w:rsid w:val="7DE3D362"/>
    <w:rsid w:val="7DE49DEA"/>
    <w:rsid w:val="7DF0AFE8"/>
    <w:rsid w:val="7E09DBC0"/>
    <w:rsid w:val="7E0C04E3"/>
    <w:rsid w:val="7E19AC58"/>
    <w:rsid w:val="7E1F9CBF"/>
    <w:rsid w:val="7E1FD57E"/>
    <w:rsid w:val="7E282BDA"/>
    <w:rsid w:val="7E2AEDF8"/>
    <w:rsid w:val="7E3570A5"/>
    <w:rsid w:val="7E3ABCF7"/>
    <w:rsid w:val="7E3CF950"/>
    <w:rsid w:val="7E4DF938"/>
    <w:rsid w:val="7E500199"/>
    <w:rsid w:val="7E58207E"/>
    <w:rsid w:val="7E640034"/>
    <w:rsid w:val="7E6BC374"/>
    <w:rsid w:val="7E6D30C7"/>
    <w:rsid w:val="7E9193E7"/>
    <w:rsid w:val="7E94B1F4"/>
    <w:rsid w:val="7E9C6EF5"/>
    <w:rsid w:val="7EAE8389"/>
    <w:rsid w:val="7EBA064A"/>
    <w:rsid w:val="7EBA88E4"/>
    <w:rsid w:val="7EBC2168"/>
    <w:rsid w:val="7ECA3D6B"/>
    <w:rsid w:val="7EE3B56A"/>
    <w:rsid w:val="7EEFC67D"/>
    <w:rsid w:val="7F127B17"/>
    <w:rsid w:val="7F24C603"/>
    <w:rsid w:val="7F3167D8"/>
    <w:rsid w:val="7F3E9FE9"/>
    <w:rsid w:val="7F433D3E"/>
    <w:rsid w:val="7F554F3E"/>
    <w:rsid w:val="7F73F84A"/>
    <w:rsid w:val="7F7AC269"/>
    <w:rsid w:val="7F830ADF"/>
    <w:rsid w:val="7F8CBAD7"/>
    <w:rsid w:val="7F942EB3"/>
    <w:rsid w:val="7F9CD8B1"/>
    <w:rsid w:val="7F9F72F4"/>
    <w:rsid w:val="7FA65836"/>
    <w:rsid w:val="7FAE1A5F"/>
    <w:rsid w:val="7FD8BAE1"/>
    <w:rsid w:val="7FF7D2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98DEF"/>
  <w15:docId w15:val="{25B39B5D-3028-44CB-99C1-F0BB9FE8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DF5"/>
    <w:pPr>
      <w:autoSpaceDN/>
      <w:spacing w:before="120" w:after="120" w:line="276" w:lineRule="auto"/>
      <w:jc w:val="both"/>
    </w:pPr>
    <w:rPr>
      <w:rFonts w:eastAsia="Times New Roman"/>
      <w:sz w:val="20"/>
      <w:szCs w:val="24"/>
      <w:lang w:val="en-GB"/>
    </w:rPr>
  </w:style>
  <w:style w:type="paragraph" w:styleId="Titlu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Titlu1Caracter"/>
    <w:uiPriority w:val="9"/>
    <w:qFormat/>
    <w:rsid w:val="000216C0"/>
    <w:pPr>
      <w:keepNext/>
      <w:keepLines/>
      <w:tabs>
        <w:tab w:val="num" w:pos="1672"/>
      </w:tabs>
      <w:spacing w:before="240" w:after="240"/>
      <w:ind w:left="1701" w:hanging="567"/>
      <w:outlineLvl w:val="0"/>
    </w:pPr>
    <w:rPr>
      <w:rFonts w:ascii="Arial Bold" w:eastAsia="MS Gothic" w:hAnsi="Arial Bold" w:cs="Arial Bold"/>
      <w:b/>
      <w:bCs/>
      <w:sz w:val="22"/>
      <w:szCs w:val="28"/>
    </w:rPr>
  </w:style>
  <w:style w:type="paragraph" w:styleId="Titlu2">
    <w:name w:val="heading 2"/>
    <w:aliases w:val="H2,Heading 2 Hidden,HD2,heading2,palacs csunyan beszel,Attribute Heading 2,Alfejezet,PLS 2,PLS 21,PLS 22,PLS 23,num,afsnit,H21,H22,H23,PLS 24,H24,PLS 25,H25,PLS 26,H26,PLS 27,H27,PLS 28,H28,PLS 29,H29,PLS 210,H210,Hovedoverskrift,h2,heading 2"/>
    <w:basedOn w:val="Normal"/>
    <w:next w:val="Normal"/>
    <w:link w:val="Titlu2Caracter"/>
    <w:unhideWhenUsed/>
    <w:qFormat/>
    <w:rsid w:val="00A454F1"/>
    <w:pPr>
      <w:keepNext/>
      <w:keepLines/>
      <w:numPr>
        <w:ilvl w:val="1"/>
      </w:numPr>
      <w:tabs>
        <w:tab w:val="num" w:pos="1003"/>
      </w:tabs>
      <w:spacing w:before="240" w:after="240"/>
      <w:ind w:left="1026" w:hanging="576"/>
      <w:outlineLvl w:val="1"/>
    </w:pPr>
    <w:rPr>
      <w:rFonts w:ascii="Arial Bold" w:eastAsia="MS Gothic" w:hAnsi="Arial Bold" w:cs="Arial Bold"/>
      <w:b/>
      <w:bCs/>
      <w:szCs w:val="26"/>
    </w:rPr>
  </w:style>
  <w:style w:type="paragraph" w:styleId="Titlu3">
    <w:name w:val="heading 3"/>
    <w:basedOn w:val="Normal"/>
    <w:next w:val="Normal"/>
    <w:link w:val="Titlu3Caracter"/>
    <w:uiPriority w:val="9"/>
    <w:unhideWhenUsed/>
    <w:qFormat/>
    <w:rsid w:val="00482C7F"/>
    <w:pPr>
      <w:keepNext/>
      <w:keepLines/>
      <w:numPr>
        <w:ilvl w:val="2"/>
      </w:numPr>
      <w:tabs>
        <w:tab w:val="num" w:pos="1647"/>
      </w:tabs>
      <w:spacing w:before="40"/>
      <w:ind w:left="1647" w:hanging="567"/>
      <w:outlineLvl w:val="2"/>
    </w:pPr>
    <w:rPr>
      <w:rFonts w:ascii="Arial Bold" w:eastAsia="MS Gothic" w:hAnsi="Arial Bold" w:cs="Arial Bold"/>
      <w:color w:val="111111"/>
    </w:rPr>
  </w:style>
  <w:style w:type="paragraph" w:styleId="Titlu4">
    <w:name w:val="heading 4"/>
    <w:basedOn w:val="Normal"/>
    <w:next w:val="Normal"/>
    <w:link w:val="Titlu4Caracter"/>
    <w:uiPriority w:val="9"/>
    <w:unhideWhenUsed/>
    <w:qFormat/>
    <w:rsid w:val="00887AA5"/>
    <w:pPr>
      <w:keepNext/>
      <w:outlineLvl w:val="3"/>
    </w:pPr>
    <w:rPr>
      <w:b/>
      <w:bCs/>
      <w:color w:val="0070C0"/>
      <w:szCs w:val="28"/>
    </w:rPr>
  </w:style>
  <w:style w:type="paragraph" w:styleId="Titlu5">
    <w:name w:val="heading 5"/>
    <w:basedOn w:val="Normal"/>
    <w:next w:val="Normal"/>
    <w:link w:val="Titlu5Caracter"/>
    <w:uiPriority w:val="9"/>
    <w:unhideWhenUsed/>
    <w:qFormat/>
    <w:rsid w:val="009C59B0"/>
    <w:pPr>
      <w:keepNext/>
      <w:keepLines/>
      <w:spacing w:before="40"/>
      <w:outlineLvl w:val="4"/>
    </w:pPr>
    <w:rPr>
      <w:rFonts w:ascii="Arial Bold" w:eastAsia="MS Gothic" w:hAnsi="Arial Bold" w:cs="Arial Bold"/>
      <w:color w:val="0070C0"/>
      <w:u w:val="single"/>
    </w:rPr>
  </w:style>
  <w:style w:type="paragraph" w:styleId="Titlu6">
    <w:name w:val="heading 6"/>
    <w:basedOn w:val="Normal"/>
    <w:next w:val="Normal"/>
    <w:link w:val="Titlu6Caracter"/>
    <w:uiPriority w:val="9"/>
    <w:semiHidden/>
    <w:unhideWhenUsed/>
    <w:qFormat/>
    <w:rsid w:val="00322613"/>
    <w:pPr>
      <w:keepNext/>
      <w:keepLines/>
      <w:spacing w:before="40"/>
      <w:outlineLvl w:val="5"/>
    </w:pPr>
    <w:rPr>
      <w:rFonts w:ascii="Arial Bold" w:eastAsia="MS Gothic" w:hAnsi="Arial Bold" w:cs="Arial Bold"/>
      <w:color w:val="111111"/>
      <w:sz w:val="22"/>
      <w:lang w:val="fr-FR" w:eastAsia="ro-RO" w:bidi="ne-NP"/>
    </w:rPr>
  </w:style>
  <w:style w:type="paragraph" w:styleId="Titlu7">
    <w:name w:val="heading 7"/>
    <w:basedOn w:val="Normal"/>
    <w:next w:val="Normal"/>
    <w:link w:val="Titlu7Caracter"/>
    <w:uiPriority w:val="9"/>
    <w:semiHidden/>
    <w:unhideWhenUsed/>
    <w:qFormat/>
    <w:rsid w:val="00B60254"/>
    <w:pPr>
      <w:keepNext/>
      <w:keepLines/>
      <w:spacing w:before="40"/>
      <w:outlineLvl w:val="6"/>
    </w:pPr>
    <w:rPr>
      <w:rFonts w:ascii="Arial Bold" w:eastAsia="MS Gothic" w:hAnsi="Arial Bold" w:cs="Arial Bold"/>
      <w:i/>
      <w:iCs/>
      <w:color w:val="111111"/>
      <w:sz w:val="24"/>
    </w:rPr>
  </w:style>
  <w:style w:type="paragraph" w:styleId="Titlu8">
    <w:name w:val="heading 8"/>
    <w:basedOn w:val="Normal"/>
    <w:next w:val="Normal"/>
    <w:link w:val="Titlu8Caracte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7"/>
    </w:pPr>
    <w:rPr>
      <w:rFonts w:ascii="Trebuchet MS" w:hAnsi="Trebuchet MS" w:cs="Calibri"/>
      <w:b/>
      <w:bCs/>
      <w:szCs w:val="20"/>
      <w:lang w:eastAsia="en-GB"/>
    </w:rPr>
  </w:style>
  <w:style w:type="paragraph" w:styleId="Titlu9">
    <w:name w:val="heading 9"/>
    <w:basedOn w:val="Normal"/>
    <w:next w:val="Normal"/>
    <w:link w:val="Titlu9Caracte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8"/>
    </w:pPr>
    <w:rPr>
      <w:rFonts w:ascii="Trebuchet MS" w:hAnsi="Trebuchet MS" w:cs="Calibri"/>
      <w:i/>
      <w:iCs/>
      <w:szCs w:val="20"/>
      <w:lang w:eastAsia="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WWOutlineListStyle">
    <w:name w:val="WW_OutlineListStyle"/>
    <w:basedOn w:val="FrListare"/>
    <w:pPr>
      <w:numPr>
        <w:numId w:val="2"/>
      </w:numPr>
    </w:pPr>
  </w:style>
  <w:style w:type="character" w:customStyle="1" w:styleId="Titlu1Caracter">
    <w:name w:val="Titlu 1 Caracter"/>
    <w:aliases w:val="Heading 1 Char1 Char1 Caracter,Heading 1 Char Char Char1 Caracter,Heading 1 Char1 Char1 Char Char Caracter,Heading 1 Char Char Char1 Char Char Caracter,Heading 1 Char Char1 Caracter,Heading 1 Char1 Char1 Char1 Caracter,1 Caracter"/>
    <w:basedOn w:val="Fontdeparagrafimplicit"/>
    <w:link w:val="Titlu1"/>
    <w:uiPriority w:val="9"/>
    <w:rPr>
      <w:rFonts w:ascii="Arial Bold" w:eastAsia="MS Gothic" w:hAnsi="Arial Bold" w:cs="Arial Bold"/>
      <w:b/>
      <w:bCs/>
      <w:szCs w:val="28"/>
      <w:lang w:val="ro-RO"/>
    </w:rPr>
  </w:style>
  <w:style w:type="character" w:customStyle="1" w:styleId="Titlu2Caracter">
    <w:name w:val="Titlu 2 Caracter"/>
    <w:aliases w:val="H2 Caracter,Heading 2 Hidden Caracter,HD2 Caracter,heading2 Caracter,palacs csunyan beszel Caracter,Attribute Heading 2 Caracter,Alfejezet Caracter,PLS 2 Caracter,PLS 21 Caracter,PLS 22 Caracter,PLS 23 Caracter,num Caracter,H21 Caracter"/>
    <w:basedOn w:val="Fontdeparagrafimplicit"/>
    <w:link w:val="Titlu2"/>
    <w:rPr>
      <w:rFonts w:ascii="Arial Bold" w:eastAsia="MS Gothic" w:hAnsi="Arial Bold" w:cs="Arial Bold"/>
      <w:b/>
      <w:bCs/>
      <w:sz w:val="20"/>
      <w:szCs w:val="26"/>
      <w:lang w:val="ro-RO"/>
    </w:rPr>
  </w:style>
  <w:style w:type="character" w:customStyle="1" w:styleId="Titlu3Caracter">
    <w:name w:val="Titlu 3 Caracter"/>
    <w:basedOn w:val="Fontdeparagrafimplicit"/>
    <w:link w:val="Titlu3"/>
    <w:uiPriority w:val="9"/>
    <w:rPr>
      <w:rFonts w:ascii="Arial Bold" w:eastAsia="MS Gothic" w:hAnsi="Arial Bold" w:cs="Arial Bold"/>
      <w:color w:val="111111"/>
      <w:sz w:val="20"/>
      <w:szCs w:val="24"/>
      <w:lang w:val="ro-RO"/>
    </w:rPr>
  </w:style>
  <w:style w:type="character" w:customStyle="1" w:styleId="Titlu4Caracter">
    <w:name w:val="Titlu 4 Caracter"/>
    <w:basedOn w:val="Fontdeparagrafimplicit"/>
    <w:link w:val="Titlu4"/>
    <w:uiPriority w:val="9"/>
    <w:rPr>
      <w:rFonts w:eastAsia="Times New Roman"/>
      <w:b/>
      <w:bCs/>
      <w:color w:val="0070C0"/>
      <w:sz w:val="20"/>
      <w:szCs w:val="28"/>
      <w:lang w:val="ro-RO"/>
    </w:rPr>
  </w:style>
  <w:style w:type="character" w:customStyle="1" w:styleId="ListparagrafCaracter">
    <w:name w:val="Listă paragraf Caracter"/>
    <w:aliases w:val="Normal bullet 2 Caracter,List Paragraph1 Caracter,Bullet 1 Caracter,Table of contents numbered Caracter,A_wyliczenie Caracter,K-P_odwolanie Caracter,Akapit z listą5 Caracter,maz_wyliczenie Caracter,opis dzialania Caracter"/>
    <w:link w:val="Listparagraf"/>
    <w:uiPriority w:val="34"/>
    <w:qFormat/>
    <w:locked/>
    <w:rsid w:val="00583590"/>
    <w:rPr>
      <w:rFonts w:eastAsiaTheme="minorHAnsi"/>
      <w:sz w:val="20"/>
      <w:lang w:val="ro-RO"/>
    </w:rPr>
  </w:style>
  <w:style w:type="paragraph" w:styleId="Listparagraf">
    <w:name w:val="List Paragraph"/>
    <w:aliases w:val="Normal bullet 2,List Paragraph1,Bullet 1,Table of contents numbered,A_wyliczenie,K-P_odwolanie,Akapit z listą5,maz_wyliczenie,opis dzialania,Akapit z listą BS,Outlines a.b.c.,List_Paragraph,Multilevel para_II,Akapit z lista BS,WB Para,lp1"/>
    <w:basedOn w:val="Normal"/>
    <w:link w:val="ListparagrafCaracter"/>
    <w:uiPriority w:val="34"/>
    <w:qFormat/>
    <w:rsid w:val="00583590"/>
    <w:pPr>
      <w:ind w:left="720"/>
      <w:contextualSpacing/>
    </w:pPr>
    <w:rPr>
      <w:rFonts w:eastAsiaTheme="minorHAnsi"/>
      <w:szCs w:val="22"/>
    </w:rPr>
  </w:style>
  <w:style w:type="paragraph" w:styleId="Corptext3">
    <w:name w:val="Body Text 3"/>
    <w:basedOn w:val="Normal"/>
    <w:link w:val="Corptext3Caracter"/>
    <w:unhideWhenUsed/>
    <w:rsid w:val="00583590"/>
    <w:rPr>
      <w:rFonts w:eastAsia="MS Mincho"/>
      <w:color w:val="232323"/>
      <w:sz w:val="16"/>
      <w:szCs w:val="16"/>
      <w:lang w:eastAsia="ro-RO" w:bidi="ne-NP"/>
    </w:rPr>
  </w:style>
  <w:style w:type="character" w:customStyle="1" w:styleId="Corptext3Caracter">
    <w:name w:val="Corp text 3 Caracter"/>
    <w:basedOn w:val="Fontdeparagrafimplicit"/>
    <w:link w:val="Corptext3"/>
    <w:rPr>
      <w:rFonts w:eastAsia="MS Mincho"/>
      <w:color w:val="232323"/>
      <w:sz w:val="16"/>
      <w:szCs w:val="16"/>
      <w:lang w:val="ro-RO" w:eastAsia="ro-RO" w:bidi="ne-NP"/>
    </w:rPr>
  </w:style>
  <w:style w:type="paragraph" w:styleId="NormalWeb">
    <w:name w:val="Normal (Web)"/>
    <w:basedOn w:val="Normal"/>
    <w:uiPriority w:val="99"/>
    <w:unhideWhenUsed/>
    <w:rsid w:val="00DE6C67"/>
    <w:rPr>
      <w:rFonts w:ascii="Times New Roman" w:hAnsi="Times New Roman" w:cs="Times New Roman"/>
      <w:lang w:val="hu-HU" w:eastAsia="hu-HU"/>
    </w:rPr>
  </w:style>
  <w:style w:type="character" w:customStyle="1" w:styleId="TextnotdesubsolCaracter">
    <w:name w:val="Text notă de subsol Caracter"/>
    <w:aliases w:val="Fußnote Caracter,Footnote Text Char Char Caracter,single space Caracter,FOOTNOTES Caracter,fn Caracter,stile 1 Caracter,Footnote Caracter,Footnote1 Caracter,Footnote2 Caracter,Footnote3 Caracter,Footnote4 Caracter,o Caracter"/>
    <w:link w:val="Textnotdesubsol"/>
    <w:uiPriority w:val="99"/>
    <w:locked/>
    <w:rsid w:val="00687C8C"/>
    <w:rPr>
      <w:rFonts w:eastAsiaTheme="minorHAnsi"/>
      <w:sz w:val="20"/>
      <w:lang w:val="x-none" w:eastAsia="x-none"/>
    </w:rPr>
  </w:style>
  <w:style w:type="paragraph" w:styleId="Textnotdesubsol">
    <w:name w:val="footnote text"/>
    <w:aliases w:val="Fußnote,Footnote Text Char Char,single space,FOOTNOTES,fn,stile 1,Footnote,Footnote1,Footnote2,Footnote3,Footnote4,Footnote5,Footnote6,Footnote7,Footnote8,Footnote9,Footnote10,Footnote11,Footnote21,fn Char,o,FT,ft,SD Footnote Text,f"/>
    <w:basedOn w:val="Normal"/>
    <w:link w:val="TextnotdesubsolCaracter"/>
    <w:uiPriority w:val="99"/>
    <w:unhideWhenUsed/>
    <w:qFormat/>
    <w:rsid w:val="00687C8C"/>
    <w:rPr>
      <w:rFonts w:eastAsiaTheme="minorHAnsi"/>
      <w:szCs w:val="22"/>
      <w:lang w:val="x-none" w:eastAsia="x-none"/>
    </w:rPr>
  </w:style>
  <w:style w:type="character" w:customStyle="1" w:styleId="FootnoteTextChar">
    <w:name w:val="Footnote Text Char"/>
    <w:aliases w:val="FT Char,ft Char,SD Footnote Text Char,Footnote Text AG Char,Note de bas de page Car Car Char,Note de bas de page Car Car Car Car Car Char,Note de bas de page Car Car Car Car Char,Podrozdział Char,Fußnotentextf Char,footnote text Char"/>
    <w:basedOn w:val="Fontdeparagrafimplicit"/>
    <w:uiPriority w:val="99"/>
    <w:rPr>
      <w:rFonts w:eastAsia="MS Mincho"/>
      <w:sz w:val="20"/>
      <w:szCs w:val="20"/>
      <w:lang w:val="en-GB"/>
    </w:rPr>
  </w:style>
  <w:style w:type="character" w:customStyle="1" w:styleId="elencopuntatosimboliCarattere1">
    <w:name w:val="elenco puntato simboli Carattere1"/>
    <w:link w:val="elencopuntatosimboli"/>
    <w:locked/>
    <w:rsid w:val="00687C8C"/>
    <w:rPr>
      <w:rFonts w:ascii="Georgia" w:eastAsiaTheme="minorHAnsi" w:hAnsi="Georgia"/>
      <w:sz w:val="20"/>
      <w:lang w:val="it-IT"/>
    </w:rPr>
  </w:style>
  <w:style w:type="paragraph" w:customStyle="1" w:styleId="elencopuntatosimboli">
    <w:name w:val="elenco puntato simboli"/>
    <w:basedOn w:val="Normal"/>
    <w:link w:val="elencopuntatosimboliCarattere1"/>
    <w:qFormat/>
    <w:rsid w:val="00687C8C"/>
    <w:pPr>
      <w:spacing w:before="240" w:line="360" w:lineRule="auto"/>
      <w:ind w:left="357" w:hanging="357"/>
    </w:pPr>
    <w:rPr>
      <w:rFonts w:ascii="Georgia" w:eastAsiaTheme="minorHAnsi" w:hAnsi="Georgia"/>
      <w:szCs w:val="22"/>
      <w:lang w:val="it-IT"/>
    </w:rPr>
  </w:style>
  <w:style w:type="character" w:styleId="Referinnotdesubsol">
    <w:name w:val="footnote reference"/>
    <w:aliases w:val="Footnote symbol,Footnote Refernece,BVI fnr,Fußnotenzeichen_Raxen,callout,Footnote Reference Number,SUPERS,Footnote reference number,Times 10 Point,Exposant 3 Point,EN Footnote Reference,note TESI,-E Fußnotenzeichen,fr, BVI fnr,R"/>
    <w:link w:val="numberCharCar"/>
    <w:unhideWhenUsed/>
    <w:qFormat/>
    <w:rsid w:val="00687C8C"/>
    <w:rPr>
      <w:rFonts w:eastAsiaTheme="minorHAnsi" w:cstheme="minorBidi"/>
      <w:sz w:val="20"/>
      <w:vertAlign w:val="superscript"/>
    </w:rPr>
  </w:style>
  <w:style w:type="character" w:styleId="Hyperlink">
    <w:name w:val="Hyperlink"/>
    <w:basedOn w:val="Fontdeparagrafimplicit"/>
    <w:uiPriority w:val="99"/>
    <w:unhideWhenUsed/>
    <w:rsid w:val="005A51A0"/>
    <w:rPr>
      <w:color w:val="467886" w:themeColor="hyperlink"/>
      <w:u w:val="single"/>
    </w:rPr>
  </w:style>
  <w:style w:type="paragraph" w:styleId="Corptext">
    <w:name w:val="Body Text"/>
    <w:aliases w:val="block style,Body,Standard paragraph,b,TabelTekst,Body Text Char Char,gl"/>
    <w:basedOn w:val="Normal"/>
    <w:link w:val="CorptextCaracter"/>
    <w:unhideWhenUsed/>
    <w:qFormat/>
    <w:rsid w:val="00B366E3"/>
    <w:rPr>
      <w:rFonts w:eastAsia="MS Mincho"/>
      <w:color w:val="232323"/>
      <w:lang w:eastAsia="ro-RO" w:bidi="ne-NP"/>
    </w:rPr>
  </w:style>
  <w:style w:type="character" w:customStyle="1" w:styleId="CorptextCaracter">
    <w:name w:val="Corp text Caracter"/>
    <w:aliases w:val="block style Caracter,Body Caracter,Standard paragraph Caracter,b Caracter,TabelTekst Caracter,Body Text Char Char Caracter,gl Caracter"/>
    <w:basedOn w:val="Fontdeparagrafimplicit"/>
    <w:link w:val="Corptext"/>
    <w:rPr>
      <w:rFonts w:eastAsia="MS Mincho"/>
      <w:color w:val="232323"/>
      <w:sz w:val="20"/>
      <w:szCs w:val="24"/>
      <w:lang w:val="ro-RO" w:eastAsia="ro-RO" w:bidi="ne-NP"/>
    </w:rPr>
  </w:style>
  <w:style w:type="paragraph" w:customStyle="1" w:styleId="Lista2">
    <w:name w:val="Lista2"/>
    <w:basedOn w:val="Normal"/>
    <w:rsid w:val="00B366E3"/>
    <w:pPr>
      <w:tabs>
        <w:tab w:val="num" w:pos="643"/>
      </w:tabs>
      <w:ind w:left="643" w:hanging="360"/>
    </w:pPr>
    <w:rPr>
      <w:rFonts w:ascii="Times New Roman" w:hAnsi="Times New Roman" w:cs="Times New Roman"/>
      <w:lang w:eastAsia="hu-HU"/>
    </w:rPr>
  </w:style>
  <w:style w:type="character" w:styleId="Referincomentariu">
    <w:name w:val="annotation reference"/>
    <w:basedOn w:val="Fontdeparagrafimplicit"/>
    <w:uiPriority w:val="99"/>
    <w:semiHidden/>
    <w:unhideWhenUsed/>
    <w:rsid w:val="00B366E3"/>
    <w:rPr>
      <w:sz w:val="16"/>
      <w:szCs w:val="16"/>
    </w:rPr>
  </w:style>
  <w:style w:type="paragraph" w:styleId="Textcomentariu">
    <w:name w:val="annotation text"/>
    <w:basedOn w:val="Normal"/>
    <w:link w:val="TextcomentariuCaracter"/>
    <w:uiPriority w:val="99"/>
    <w:unhideWhenUsed/>
    <w:rsid w:val="00B366E3"/>
    <w:rPr>
      <w:rFonts w:eastAsia="MS Mincho"/>
      <w:szCs w:val="20"/>
    </w:rPr>
  </w:style>
  <w:style w:type="character" w:customStyle="1" w:styleId="TextcomentariuCaracter">
    <w:name w:val="Text comentariu Caracter"/>
    <w:basedOn w:val="Fontdeparagrafimplicit"/>
    <w:link w:val="Textcomentariu"/>
    <w:uiPriority w:val="99"/>
    <w:rPr>
      <w:rFonts w:eastAsia="MS Mincho"/>
      <w:sz w:val="20"/>
      <w:szCs w:val="20"/>
      <w:lang w:val="en-GB"/>
    </w:rPr>
  </w:style>
  <w:style w:type="paragraph" w:styleId="TextnBalon">
    <w:name w:val="Balloon Text"/>
    <w:basedOn w:val="Normal"/>
    <w:link w:val="TextnBalonCaracter"/>
    <w:uiPriority w:val="99"/>
    <w:semiHidden/>
    <w:unhideWhenUsed/>
    <w:rsid w:val="00B366E3"/>
    <w:rPr>
      <w:rFonts w:ascii="Lucida Grande" w:eastAsia="MS Mincho" w:hAnsi="Lucida Grande" w:cs="Lucida Grande"/>
      <w:sz w:val="18"/>
      <w:szCs w:val="18"/>
    </w:rPr>
  </w:style>
  <w:style w:type="character" w:customStyle="1" w:styleId="TextnBalonCaracter">
    <w:name w:val="Text în Balon Caracter"/>
    <w:basedOn w:val="Fontdeparagrafimplicit"/>
    <w:link w:val="TextnBalon"/>
    <w:uiPriority w:val="99"/>
    <w:semiHidden/>
    <w:rPr>
      <w:rFonts w:ascii="Lucida Grande" w:eastAsia="MS Mincho" w:hAnsi="Lucida Grande" w:cs="Lucida Grande"/>
      <w:sz w:val="18"/>
      <w:szCs w:val="18"/>
      <w:lang w:val="en-GB"/>
    </w:rPr>
  </w:style>
  <w:style w:type="paragraph" w:customStyle="1" w:styleId="Default">
    <w:name w:val="Default"/>
    <w:rsid w:val="002A6FAE"/>
    <w:pPr>
      <w:autoSpaceDE w:val="0"/>
      <w:adjustRightInd w:val="0"/>
      <w:spacing w:after="0" w:line="240" w:lineRule="auto"/>
    </w:pPr>
    <w:rPr>
      <w:rFonts w:ascii="Times New Roman" w:eastAsia="Calibri" w:hAnsi="Times New Roman" w:cs="Times New Roman"/>
      <w:color w:val="000000"/>
      <w:sz w:val="24"/>
      <w:szCs w:val="24"/>
    </w:rPr>
  </w:style>
  <w:style w:type="paragraph" w:customStyle="1" w:styleId="Bullet">
    <w:name w:val="Bullet"/>
    <w:basedOn w:val="Normal"/>
    <w:qFormat/>
    <w:rsid w:val="00927331"/>
    <w:pPr>
      <w:ind w:left="1440"/>
      <w:contextualSpacing/>
    </w:pPr>
    <w:rPr>
      <w:rFonts w:eastAsiaTheme="minorHAnsi"/>
      <w:szCs w:val="22"/>
      <w:lang w:eastAsia="ro-RO"/>
    </w:rPr>
  </w:style>
  <w:style w:type="character" w:customStyle="1" w:styleId="BodyTextChar1">
    <w:name w:val="Body Text Char1"/>
    <w:aliases w:val="block style Char,Body Char,Standard paragraph Char,b Char,TabelTekst Char,Body Text Char Char Char,gl Char"/>
    <w:semiHidden/>
    <w:rsid w:val="00E70950"/>
    <w:rPr>
      <w:rFonts w:ascii="Arial" w:eastAsia="Times New Roman" w:hAnsi="Arial" w:cs="Arial"/>
      <w:b/>
      <w:bCs/>
      <w:noProof/>
      <w:sz w:val="28"/>
      <w:szCs w:val="28"/>
      <w:lang w:val="ro-RO" w:eastAsia="ro-RO"/>
    </w:rPr>
  </w:style>
  <w:style w:type="paragraph" w:styleId="Adresplic">
    <w:name w:val="envelope address"/>
    <w:basedOn w:val="Normal"/>
    <w:rsid w:val="00E70950"/>
    <w:pPr>
      <w:framePr w:w="7920" w:h="1980" w:hRule="exact" w:hSpace="180" w:wrap="auto" w:hAnchor="page" w:xAlign="center" w:yAlign="bottom"/>
      <w:spacing w:after="200" w:line="288" w:lineRule="auto"/>
      <w:ind w:left="2880"/>
    </w:pPr>
    <w:rPr>
      <w:i/>
      <w:iCs/>
    </w:rPr>
  </w:style>
  <w:style w:type="paragraph" w:customStyle="1" w:styleId="inna">
    <w:name w:val="inna"/>
    <w:basedOn w:val="Normal"/>
    <w:rsid w:val="00E70950"/>
    <w:pPr>
      <w:spacing w:before="60" w:after="60"/>
    </w:pPr>
    <w:rPr>
      <w:rFonts w:ascii="Comic Sans MS" w:hAnsi="Comic Sans MS" w:cs="Times New Roman"/>
    </w:rPr>
  </w:style>
  <w:style w:type="paragraph" w:styleId="Antet">
    <w:name w:val="header"/>
    <w:aliases w:val="Kopfzeile Text,hd,Header Titlos Prosforas,Titlos Prosforas,encabezado,ho,header odd,Headertext,Heade,En-tête client,Header1,Header Char Char,Char1 Char1 Char Char,Char1 Char Char,Char1 Char1 Char,Char1 Char,Glava - napis,En-tête-1,En-tête-2,Even"/>
    <w:basedOn w:val="Normal"/>
    <w:link w:val="AntetCaracter"/>
    <w:uiPriority w:val="99"/>
    <w:unhideWhenUsed/>
    <w:rsid w:val="00E70950"/>
    <w:pPr>
      <w:tabs>
        <w:tab w:val="center" w:pos="4536"/>
        <w:tab w:val="right" w:pos="9072"/>
      </w:tabs>
    </w:pPr>
    <w:rPr>
      <w:rFonts w:eastAsia="MS Mincho"/>
      <w:sz w:val="22"/>
      <w:szCs w:val="22"/>
    </w:rPr>
  </w:style>
  <w:style w:type="character" w:customStyle="1" w:styleId="AntetCaracter">
    <w:name w:val="Antet Caracter"/>
    <w:aliases w:val="Kopfzeile Text Caracter,hd Caracter,Header Titlos Prosforas Caracter,Titlos Prosforas Caracter,encabezado Caracter,ho Caracter,header odd Caracter,Headertext Caracter,Heade Caracter,En-tête client Caracter,Header1 Caracter,Even Caracter"/>
    <w:basedOn w:val="Fontdeparagrafimplicit"/>
    <w:link w:val="Antet"/>
    <w:uiPriority w:val="99"/>
    <w:rPr>
      <w:rFonts w:eastAsia="MS Mincho"/>
    </w:rPr>
  </w:style>
  <w:style w:type="paragraph" w:styleId="Titlu">
    <w:name w:val="Title"/>
    <w:basedOn w:val="Normal"/>
    <w:next w:val="Normal"/>
    <w:link w:val="TitluCaracter"/>
    <w:uiPriority w:val="10"/>
    <w:qFormat/>
    <w:rsid w:val="00E70950"/>
    <w:pPr>
      <w:pBdr>
        <w:bottom w:val="single" w:sz="8" w:space="4" w:color="156082" w:themeColor="accent1"/>
      </w:pBdr>
      <w:spacing w:after="300"/>
      <w:contextualSpacing/>
    </w:pPr>
    <w:rPr>
      <w:rFonts w:ascii="Arial Bold" w:eastAsia="MS Gothic" w:hAnsi="Arial Bold" w:cs="Arial Bold"/>
      <w:color w:val="1A1A1A"/>
      <w:spacing w:val="5"/>
      <w:kern w:val="3"/>
      <w:sz w:val="44"/>
      <w:szCs w:val="52"/>
    </w:rPr>
  </w:style>
  <w:style w:type="character" w:customStyle="1" w:styleId="TitluCaracter">
    <w:name w:val="Titlu Caracter"/>
    <w:basedOn w:val="Fontdeparagrafimplicit"/>
    <w:link w:val="Titlu"/>
    <w:uiPriority w:val="10"/>
    <w:rPr>
      <w:rFonts w:ascii="Arial Bold" w:eastAsia="MS Gothic" w:hAnsi="Arial Bold" w:cs="Arial Bold"/>
      <w:color w:val="1A1A1A"/>
      <w:spacing w:val="5"/>
      <w:kern w:val="3"/>
      <w:sz w:val="44"/>
      <w:szCs w:val="52"/>
    </w:rPr>
  </w:style>
  <w:style w:type="paragraph" w:styleId="Subsol">
    <w:name w:val="footer"/>
    <w:basedOn w:val="Normal"/>
    <w:link w:val="SubsolCaracter"/>
    <w:uiPriority w:val="99"/>
    <w:unhideWhenUsed/>
    <w:rsid w:val="00E70950"/>
    <w:pPr>
      <w:tabs>
        <w:tab w:val="center" w:pos="4680"/>
        <w:tab w:val="right" w:pos="9360"/>
      </w:tabs>
    </w:pPr>
    <w:rPr>
      <w:rFonts w:eastAsia="MS Mincho"/>
      <w:sz w:val="24"/>
    </w:rPr>
  </w:style>
  <w:style w:type="character" w:customStyle="1" w:styleId="SubsolCaracter">
    <w:name w:val="Subsol Caracter"/>
    <w:basedOn w:val="Fontdeparagrafimplicit"/>
    <w:link w:val="Subsol"/>
    <w:uiPriority w:val="99"/>
    <w:rPr>
      <w:rFonts w:eastAsia="MS Mincho"/>
      <w:sz w:val="24"/>
      <w:szCs w:val="24"/>
      <w:lang w:val="en-GB"/>
    </w:rPr>
  </w:style>
  <w:style w:type="character" w:customStyle="1" w:styleId="Normal1">
    <w:name w:val="Normal1"/>
    <w:rPr>
      <w:rFonts w:ascii="Times New Roman" w:hAnsi="Times New Roman" w:cs="Times New Roman"/>
      <w:sz w:val="16"/>
      <w:szCs w:val="16"/>
    </w:rPr>
  </w:style>
  <w:style w:type="character" w:styleId="Robust">
    <w:name w:val="Strong"/>
    <w:aliases w:val="Bold"/>
    <w:uiPriority w:val="22"/>
    <w:qFormat/>
    <w:rPr>
      <w:rFonts w:ascii="Times New Roman" w:hAnsi="Times New Roman" w:cs="Times New Roman"/>
      <w:b/>
      <w:bCs/>
    </w:rPr>
  </w:style>
  <w:style w:type="paragraph" w:customStyle="1" w:styleId="Figureno">
    <w:name w:val="Figure no."/>
    <w:basedOn w:val="Normal"/>
    <w:link w:val="FigurenoChar"/>
    <w:qFormat/>
    <w:rsid w:val="00E70950"/>
    <w:pPr>
      <w:tabs>
        <w:tab w:val="left" w:pos="975"/>
      </w:tabs>
      <w:spacing w:line="360" w:lineRule="auto"/>
      <w:ind w:left="720"/>
    </w:pPr>
    <w:rPr>
      <w:rFonts w:ascii="Georgia" w:eastAsia="Calibri" w:hAnsi="Georgia" w:cs="Times New Roman"/>
      <w:b/>
      <w:szCs w:val="22"/>
      <w:lang w:val="it-IT"/>
    </w:rPr>
  </w:style>
  <w:style w:type="character" w:customStyle="1" w:styleId="FigurenoChar">
    <w:name w:val="Figure no. Char"/>
    <w:basedOn w:val="Fontdeparagrafimplicit"/>
    <w:link w:val="Figureno"/>
    <w:rPr>
      <w:rFonts w:ascii="Georgia" w:eastAsia="Calibri" w:hAnsi="Georgia" w:cs="Times New Roman"/>
      <w:b/>
      <w:sz w:val="20"/>
      <w:lang w:val="it-IT"/>
    </w:rPr>
  </w:style>
  <w:style w:type="paragraph" w:customStyle="1" w:styleId="tab">
    <w:name w:val="tab"/>
    <w:basedOn w:val="Normal"/>
    <w:uiPriority w:val="99"/>
    <w:rsid w:val="00E70950"/>
    <w:pPr>
      <w:spacing w:line="340" w:lineRule="exact"/>
    </w:pPr>
    <w:rPr>
      <w:rFonts w:ascii="Tahoma" w:hAnsi="Tahoma" w:cs="Times New Roman"/>
      <w:b/>
      <w:bCs/>
    </w:rPr>
  </w:style>
  <w:style w:type="paragraph" w:customStyle="1" w:styleId="xl41">
    <w:name w:val="xl41"/>
    <w:basedOn w:val="Normal"/>
    <w:uiPriority w:val="99"/>
    <w:rsid w:val="00E70950"/>
    <w:pPr>
      <w:pBdr>
        <w:left w:val="single" w:sz="4" w:space="0" w:color="auto"/>
      </w:pBdr>
    </w:pPr>
    <w:rPr>
      <w:rFonts w:ascii="Arial Unicode MS" w:eastAsia="Arial Unicode MS" w:hAnsi="Arial Unicode MS" w:cs="Times New Roman"/>
      <w:b/>
      <w:bCs/>
    </w:rPr>
  </w:style>
  <w:style w:type="paragraph" w:styleId="Index1">
    <w:name w:val="index 1"/>
    <w:basedOn w:val="Normal"/>
    <w:next w:val="Normal"/>
    <w:autoRedefine/>
    <w:uiPriority w:val="99"/>
    <w:semiHidden/>
    <w:unhideWhenUsed/>
    <w:rsid w:val="00E70950"/>
    <w:pPr>
      <w:ind w:left="240" w:hanging="240"/>
    </w:pPr>
  </w:style>
  <w:style w:type="paragraph" w:styleId="Titludeindex">
    <w:name w:val="index heading"/>
    <w:basedOn w:val="Normal"/>
    <w:next w:val="Index1"/>
    <w:semiHidden/>
    <w:rsid w:val="00E70950"/>
    <w:rPr>
      <w:rFonts w:ascii="Times New Roman" w:hAnsi="Times New Roman" w:cs="Times New Roman"/>
      <w:lang w:eastAsia="de-DE"/>
    </w:rPr>
  </w:style>
  <w:style w:type="paragraph" w:styleId="Titlucuprins">
    <w:name w:val="TOC Heading"/>
    <w:basedOn w:val="Titlu1"/>
    <w:next w:val="Normal"/>
    <w:uiPriority w:val="39"/>
    <w:unhideWhenUsed/>
    <w:qFormat/>
    <w:rsid w:val="00A317D8"/>
    <w:pPr>
      <w:outlineLvl w:val="9"/>
    </w:pPr>
    <w:rPr>
      <w:rFonts w:asciiTheme="majorHAnsi" w:eastAsiaTheme="majorEastAsia" w:hAnsiTheme="majorHAnsi" w:cstheme="majorBidi"/>
      <w:bCs w:val="0"/>
      <w:caps/>
      <w:sz w:val="24"/>
      <w:szCs w:val="22"/>
      <w:lang w:eastAsia="ja-JP"/>
    </w:rPr>
  </w:style>
  <w:style w:type="paragraph" w:styleId="Cuprins1">
    <w:name w:val="toc 1"/>
    <w:basedOn w:val="Normal"/>
    <w:next w:val="Normal"/>
    <w:autoRedefine/>
    <w:uiPriority w:val="39"/>
    <w:unhideWhenUsed/>
    <w:rsid w:val="000A31B9"/>
    <w:pPr>
      <w:tabs>
        <w:tab w:val="left" w:pos="144"/>
        <w:tab w:val="left" w:pos="440"/>
        <w:tab w:val="right" w:leader="dot" w:pos="9639"/>
      </w:tabs>
      <w:spacing w:before="0" w:after="0"/>
    </w:pPr>
    <w:rPr>
      <w:rFonts w:cs="Times New Roman"/>
      <w:bCs/>
      <w:caps/>
      <w:noProof/>
      <w:szCs w:val="22"/>
    </w:rPr>
  </w:style>
  <w:style w:type="paragraph" w:styleId="Cuprins2">
    <w:name w:val="toc 2"/>
    <w:basedOn w:val="Normal"/>
    <w:next w:val="Normal"/>
    <w:autoRedefine/>
    <w:uiPriority w:val="39"/>
    <w:unhideWhenUsed/>
    <w:rsid w:val="00E33E09"/>
    <w:pPr>
      <w:tabs>
        <w:tab w:val="left" w:pos="288"/>
        <w:tab w:val="left" w:pos="1100"/>
        <w:tab w:val="right" w:leader="dot" w:pos="9182"/>
      </w:tabs>
      <w:spacing w:before="60" w:after="60"/>
      <w:ind w:left="288"/>
    </w:pPr>
    <w:rPr>
      <w:i/>
      <w:noProof/>
      <w:szCs w:val="22"/>
    </w:rPr>
  </w:style>
  <w:style w:type="paragraph" w:styleId="Cuprins3">
    <w:name w:val="toc 3"/>
    <w:basedOn w:val="Normal"/>
    <w:next w:val="Normal"/>
    <w:autoRedefine/>
    <w:uiPriority w:val="39"/>
    <w:unhideWhenUsed/>
    <w:rsid w:val="00A317D8"/>
    <w:pPr>
      <w:ind w:left="440"/>
    </w:pPr>
    <w:rPr>
      <w:szCs w:val="22"/>
    </w:rPr>
  </w:style>
  <w:style w:type="paragraph" w:customStyle="1" w:styleId="normaltableau">
    <w:name w:val="normal_tableau"/>
    <w:basedOn w:val="Normal"/>
    <w:rsid w:val="00A317D8"/>
    <w:rPr>
      <w:rFonts w:ascii="Optima" w:hAnsi="Optima" w:cs="Times New Roman"/>
    </w:rPr>
  </w:style>
  <w:style w:type="character" w:customStyle="1" w:styleId="at31">
    <w:name w:val="a__t31"/>
    <w:rPr>
      <w:i/>
      <w:iCs/>
    </w:rPr>
  </w:style>
  <w:style w:type="paragraph" w:customStyle="1" w:styleId="Address">
    <w:name w:val="Address"/>
    <w:basedOn w:val="Normal"/>
    <w:rsid w:val="00402744"/>
    <w:rPr>
      <w:lang w:eastAsia="it-IT"/>
    </w:rPr>
  </w:style>
  <w:style w:type="paragraph" w:customStyle="1" w:styleId="ColorfulList-Accent11">
    <w:name w:val="Colorful List - Accent 11"/>
    <w:basedOn w:val="Normal"/>
    <w:uiPriority w:val="34"/>
    <w:qFormat/>
    <w:rsid w:val="00402744"/>
    <w:pPr>
      <w:spacing w:after="200"/>
      <w:ind w:left="720"/>
      <w:contextualSpacing/>
    </w:pPr>
    <w:rPr>
      <w:rFonts w:ascii="Calibri" w:eastAsia="Calibri" w:hAnsi="Calibri" w:cs="Times New Roman"/>
      <w:szCs w:val="22"/>
    </w:rPr>
  </w:style>
  <w:style w:type="paragraph" w:customStyle="1" w:styleId="Corpo">
    <w:name w:val="Corpo"/>
    <w:basedOn w:val="Normal"/>
    <w:link w:val="CorpoCarattere"/>
    <w:uiPriority w:val="99"/>
    <w:rsid w:val="00402744"/>
    <w:pPr>
      <w:widowControl w:val="0"/>
      <w:adjustRightInd w:val="0"/>
      <w:spacing w:line="360" w:lineRule="atLeast"/>
      <w:textAlignment w:val="baseline"/>
    </w:pPr>
    <w:rPr>
      <w:rFonts w:ascii="Times New Roman" w:hAnsi="Times New Roman" w:cs="Times New Roman"/>
      <w:sz w:val="24"/>
      <w:szCs w:val="20"/>
      <w:lang w:val="it-IT" w:eastAsia="it-IT"/>
    </w:rPr>
  </w:style>
  <w:style w:type="character" w:customStyle="1" w:styleId="CorpoCarattere">
    <w:name w:val="Corpo Carattere"/>
    <w:link w:val="Corpo"/>
    <w:uiPriority w:val="99"/>
    <w:rPr>
      <w:rFonts w:ascii="Times New Roman" w:eastAsia="Times New Roman" w:hAnsi="Times New Roman" w:cs="Times New Roman"/>
      <w:sz w:val="24"/>
      <w:szCs w:val="20"/>
      <w:lang w:val="it-IT" w:eastAsia="it-IT"/>
    </w:rPr>
  </w:style>
  <w:style w:type="paragraph" w:customStyle="1" w:styleId="Puntatoconnumeri">
    <w:name w:val="Puntato con numeri"/>
    <w:uiPriority w:val="99"/>
    <w:rsid w:val="00402744"/>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autoSpaceDN/>
      <w:spacing w:before="60" w:after="0" w:line="240" w:lineRule="auto"/>
      <w:ind w:left="340" w:hanging="340"/>
    </w:pPr>
    <w:rPr>
      <w:rFonts w:ascii="Helvetica Neue Light" w:eastAsia="ヒラギノ角ゴ Pro W3" w:hAnsi="Helvetica Neue Light" w:cs="Times New Roman"/>
      <w:color w:val="000000"/>
      <w:szCs w:val="20"/>
      <w:lang w:val="it-IT" w:eastAsia="it-IT"/>
    </w:rPr>
  </w:style>
  <w:style w:type="paragraph" w:customStyle="1" w:styleId="SubText">
    <w:name w:val="Sub Text"/>
    <w:basedOn w:val="Normal"/>
    <w:link w:val="SubTextChar"/>
    <w:rsid w:val="00570E2C"/>
    <w:pPr>
      <w:spacing w:line="260" w:lineRule="atLeast"/>
      <w:ind w:left="1253"/>
    </w:pPr>
    <w:rPr>
      <w:rFonts w:eastAsia="MS Mincho" w:cs="Times New Roman"/>
      <w:color w:val="232323"/>
      <w:szCs w:val="20"/>
      <w:lang w:eastAsia="ro-RO" w:bidi="ne-NP"/>
    </w:rPr>
  </w:style>
  <w:style w:type="character" w:customStyle="1" w:styleId="SubTextChar">
    <w:name w:val="Sub Text Char"/>
    <w:basedOn w:val="Fontdeparagrafimplicit"/>
    <w:link w:val="SubText"/>
    <w:rPr>
      <w:rFonts w:eastAsia="MS Mincho" w:cs="Times New Roman"/>
      <w:color w:val="232323"/>
      <w:sz w:val="20"/>
      <w:szCs w:val="20"/>
      <w:lang w:val="ro-RO" w:eastAsia="ro-RO" w:bidi="ne-NP"/>
    </w:rPr>
  </w:style>
  <w:style w:type="paragraph" w:styleId="Listcumarcatori">
    <w:name w:val="List Bullet"/>
    <w:basedOn w:val="Normal"/>
    <w:autoRedefine/>
    <w:uiPriority w:val="3"/>
    <w:rsid w:val="00B63FD8"/>
    <w:pPr>
      <w:ind w:left="144" w:right="144"/>
      <w:contextualSpacing/>
    </w:pPr>
    <w:rPr>
      <w:b/>
      <w:bCs/>
      <w:iCs/>
    </w:rPr>
  </w:style>
  <w:style w:type="character" w:customStyle="1" w:styleId="Normal9">
    <w:name w:val="Normal9"/>
    <w:rPr>
      <w:rFonts w:ascii="Times New Roman" w:hAnsi="Times New Roman" w:cs="Times New Roman"/>
      <w:sz w:val="16"/>
      <w:szCs w:val="16"/>
    </w:rPr>
  </w:style>
  <w:style w:type="character" w:customStyle="1" w:styleId="Normal13">
    <w:name w:val="Normal13"/>
    <w:rPr>
      <w:rFonts w:ascii="Times New Roman" w:hAnsi="Times New Roman" w:cs="Times New Roman"/>
      <w:sz w:val="16"/>
      <w:szCs w:val="16"/>
    </w:rPr>
  </w:style>
  <w:style w:type="paragraph" w:customStyle="1" w:styleId="Instruction">
    <w:name w:val="Instruction"/>
    <w:basedOn w:val="Normal"/>
    <w:next w:val="Normal"/>
    <w:link w:val="InstructionChar"/>
    <w:rsid w:val="00570E2C"/>
    <w:pPr>
      <w:keepLines/>
      <w:ind w:left="284" w:right="369"/>
    </w:pPr>
    <w:rPr>
      <w:rFonts w:ascii="Calibri" w:hAnsi="Calibri" w:cs="Times New Roman"/>
      <w:color w:val="1F497D"/>
      <w:szCs w:val="22"/>
      <w:lang w:eastAsia="ro-RO" w:bidi="ne-NP"/>
    </w:rPr>
  </w:style>
  <w:style w:type="character" w:customStyle="1" w:styleId="InstructionChar">
    <w:name w:val="Instruction Char"/>
    <w:link w:val="Instruction"/>
    <w:rPr>
      <w:rFonts w:ascii="Calibri" w:eastAsia="Times New Roman" w:hAnsi="Calibri" w:cs="Times New Roman"/>
      <w:color w:val="1F497D"/>
      <w:sz w:val="20"/>
      <w:lang w:val="ro-RO" w:eastAsia="ro-RO" w:bidi="ne-NP"/>
    </w:rPr>
  </w:style>
  <w:style w:type="paragraph" w:customStyle="1" w:styleId="PuceRoseDtail">
    <w:name w:val="Puce Rose Détail"/>
    <w:basedOn w:val="Normal"/>
    <w:rsid w:val="00570E2C"/>
    <w:pPr>
      <w:widowControl w:val="0"/>
      <w:tabs>
        <w:tab w:val="left" w:pos="360"/>
        <w:tab w:val="left" w:pos="936"/>
      </w:tabs>
      <w:overflowPunct w:val="0"/>
      <w:autoSpaceDE w:val="0"/>
      <w:autoSpaceDN w:val="0"/>
      <w:adjustRightInd w:val="0"/>
      <w:spacing w:after="60" w:line="260" w:lineRule="exact"/>
      <w:textAlignment w:val="baseline"/>
    </w:pPr>
    <w:rPr>
      <w:rFonts w:cs="Times New Roman"/>
    </w:rPr>
  </w:style>
  <w:style w:type="paragraph" w:customStyle="1" w:styleId="CharCaracterCaracter">
    <w:name w:val="Char Caracter Caracter"/>
    <w:basedOn w:val="Normal"/>
    <w:rsid w:val="00570E2C"/>
    <w:pPr>
      <w:spacing w:after="160" w:line="240" w:lineRule="exact"/>
    </w:pPr>
    <w:rPr>
      <w:rFonts w:eastAsia="Batang"/>
    </w:rPr>
  </w:style>
  <w:style w:type="paragraph" w:styleId="Indentcorptext">
    <w:name w:val="Body Text Indent"/>
    <w:basedOn w:val="Normal"/>
    <w:link w:val="IndentcorptextCaracter"/>
    <w:uiPriority w:val="99"/>
    <w:semiHidden/>
    <w:unhideWhenUsed/>
    <w:rsid w:val="00570E2C"/>
    <w:pPr>
      <w:spacing w:line="288" w:lineRule="auto"/>
      <w:ind w:left="360"/>
    </w:pPr>
    <w:rPr>
      <w:rFonts w:eastAsia="MS Mincho"/>
      <w:color w:val="232323"/>
      <w:sz w:val="21"/>
      <w:szCs w:val="21"/>
      <w:lang w:eastAsia="ro-RO" w:bidi="ne-NP"/>
    </w:rPr>
  </w:style>
  <w:style w:type="character" w:customStyle="1" w:styleId="IndentcorptextCaracter">
    <w:name w:val="Indent corp text Caracter"/>
    <w:basedOn w:val="Fontdeparagrafimplicit"/>
    <w:link w:val="Indentcorptext"/>
    <w:uiPriority w:val="99"/>
    <w:semiHidden/>
    <w:rPr>
      <w:rFonts w:eastAsia="MS Mincho"/>
      <w:color w:val="232323"/>
      <w:sz w:val="21"/>
      <w:szCs w:val="21"/>
      <w:lang w:val="ro-RO" w:eastAsia="ro-RO" w:bidi="ne-NP"/>
    </w:rPr>
  </w:style>
  <w:style w:type="character" w:customStyle="1" w:styleId="Normal2">
    <w:name w:val="Normal2"/>
    <w:rPr>
      <w:rFonts w:ascii="Times New Roman" w:hAnsi="Times New Roman" w:cs="Times New Roman"/>
      <w:sz w:val="16"/>
      <w:szCs w:val="16"/>
    </w:rPr>
  </w:style>
  <w:style w:type="paragraph" w:customStyle="1" w:styleId="testoCarattereCharChar">
    <w:name w:val="testo Carattere Char Char"/>
    <w:basedOn w:val="Normal"/>
    <w:rsid w:val="00917600"/>
    <w:pPr>
      <w:spacing w:before="60"/>
    </w:pPr>
    <w:rPr>
      <w:rFonts w:ascii="Arial Narrow" w:hAnsi="Arial Narrow" w:cs="Tahoma"/>
      <w:szCs w:val="22"/>
      <w:lang w:eastAsia="it-IT"/>
    </w:rPr>
  </w:style>
  <w:style w:type="paragraph" w:styleId="Frspaiere">
    <w:name w:val="No Spacing"/>
    <w:link w:val="FrspaiereCaracter"/>
    <w:qFormat/>
    <w:rsid w:val="00917600"/>
    <w:pPr>
      <w:autoSpaceDN/>
      <w:spacing w:after="0" w:line="240" w:lineRule="auto"/>
    </w:pPr>
    <w:rPr>
      <w:rFonts w:ascii="Calibri" w:eastAsia="Calibri" w:hAnsi="Calibri" w:cs="Times New Roman"/>
      <w:lang w:val="ro-RO"/>
    </w:rPr>
  </w:style>
  <w:style w:type="paragraph" w:styleId="Cuprins4">
    <w:name w:val="toc 4"/>
    <w:basedOn w:val="Normal"/>
    <w:next w:val="Normal"/>
    <w:autoRedefine/>
    <w:uiPriority w:val="39"/>
    <w:unhideWhenUsed/>
    <w:rsid w:val="00191C91"/>
    <w:pPr>
      <w:ind w:left="660"/>
    </w:pPr>
    <w:rPr>
      <w:szCs w:val="22"/>
    </w:rPr>
  </w:style>
  <w:style w:type="paragraph" w:styleId="Cuprins5">
    <w:name w:val="toc 5"/>
    <w:basedOn w:val="Normal"/>
    <w:next w:val="Normal"/>
    <w:autoRedefine/>
    <w:uiPriority w:val="39"/>
    <w:unhideWhenUsed/>
    <w:rsid w:val="00191C91"/>
    <w:pPr>
      <w:ind w:left="880"/>
    </w:pPr>
    <w:rPr>
      <w:szCs w:val="22"/>
    </w:rPr>
  </w:style>
  <w:style w:type="paragraph" w:styleId="Cuprins6">
    <w:name w:val="toc 6"/>
    <w:basedOn w:val="Normal"/>
    <w:next w:val="Normal"/>
    <w:autoRedefine/>
    <w:uiPriority w:val="39"/>
    <w:unhideWhenUsed/>
    <w:rsid w:val="00191C91"/>
    <w:pPr>
      <w:ind w:left="1100"/>
    </w:pPr>
    <w:rPr>
      <w:szCs w:val="22"/>
    </w:rPr>
  </w:style>
  <w:style w:type="paragraph" w:styleId="Cuprins7">
    <w:name w:val="toc 7"/>
    <w:basedOn w:val="Normal"/>
    <w:next w:val="Normal"/>
    <w:autoRedefine/>
    <w:uiPriority w:val="39"/>
    <w:unhideWhenUsed/>
    <w:rsid w:val="00191C91"/>
    <w:pPr>
      <w:ind w:left="1320"/>
    </w:pPr>
    <w:rPr>
      <w:szCs w:val="22"/>
    </w:rPr>
  </w:style>
  <w:style w:type="paragraph" w:styleId="Cuprins8">
    <w:name w:val="toc 8"/>
    <w:basedOn w:val="Normal"/>
    <w:next w:val="Normal"/>
    <w:autoRedefine/>
    <w:uiPriority w:val="39"/>
    <w:unhideWhenUsed/>
    <w:rsid w:val="00191C91"/>
    <w:pPr>
      <w:ind w:left="1540"/>
    </w:pPr>
    <w:rPr>
      <w:szCs w:val="22"/>
    </w:rPr>
  </w:style>
  <w:style w:type="paragraph" w:styleId="Cuprins9">
    <w:name w:val="toc 9"/>
    <w:basedOn w:val="Normal"/>
    <w:next w:val="Normal"/>
    <w:autoRedefine/>
    <w:uiPriority w:val="39"/>
    <w:unhideWhenUsed/>
    <w:rsid w:val="00191C91"/>
    <w:pPr>
      <w:ind w:left="1760"/>
    </w:pPr>
    <w:rPr>
      <w:szCs w:val="22"/>
    </w:rPr>
  </w:style>
  <w:style w:type="character" w:customStyle="1" w:styleId="Titlu7Caracter">
    <w:name w:val="Titlu 7 Caracter"/>
    <w:basedOn w:val="Fontdeparagrafimplicit"/>
    <w:link w:val="Titlu7"/>
    <w:uiPriority w:val="9"/>
    <w:semiHidden/>
    <w:rPr>
      <w:rFonts w:ascii="Arial Bold" w:eastAsia="MS Gothic" w:hAnsi="Arial Bold" w:cs="Arial Bold"/>
      <w:i/>
      <w:iCs/>
      <w:color w:val="111111"/>
      <w:sz w:val="24"/>
      <w:szCs w:val="24"/>
      <w:lang w:val="en-GB"/>
    </w:rPr>
  </w:style>
  <w:style w:type="character" w:customStyle="1" w:styleId="Titlu5Caracter">
    <w:name w:val="Titlu 5 Caracter"/>
    <w:basedOn w:val="Fontdeparagrafimplicit"/>
    <w:link w:val="Titlu5"/>
    <w:uiPriority w:val="9"/>
    <w:rPr>
      <w:rFonts w:ascii="Arial Bold" w:eastAsia="MS Gothic" w:hAnsi="Arial Bold" w:cs="Arial Bold"/>
      <w:color w:val="0070C0"/>
      <w:sz w:val="20"/>
      <w:szCs w:val="24"/>
      <w:u w:val="single"/>
      <w:lang w:val="ro-RO"/>
    </w:rPr>
  </w:style>
  <w:style w:type="character" w:customStyle="1" w:styleId="UnresolvedMention1">
    <w:name w:val="Unresolved Mention1"/>
    <w:basedOn w:val="Fontdeparagrafimplicit"/>
    <w:uiPriority w:val="99"/>
    <w:semiHidden/>
    <w:unhideWhenUsed/>
    <w:rsid w:val="00772348"/>
    <w:rPr>
      <w:color w:val="605E5C"/>
      <w:shd w:val="clear" w:color="auto" w:fill="E1DFDD"/>
    </w:rPr>
  </w:style>
  <w:style w:type="paragraph" w:styleId="SubiectComentariu">
    <w:name w:val="annotation subject"/>
    <w:basedOn w:val="Textcomentariu"/>
    <w:next w:val="Textcomentariu"/>
    <w:link w:val="SubiectComentariuCaracter"/>
    <w:uiPriority w:val="99"/>
    <w:semiHidden/>
    <w:unhideWhenUsed/>
    <w:rsid w:val="00DC2D97"/>
    <w:rPr>
      <w:b/>
      <w:bCs/>
    </w:rPr>
  </w:style>
  <w:style w:type="character" w:customStyle="1" w:styleId="SubiectComentariuCaracter">
    <w:name w:val="Subiect Comentariu Caracter"/>
    <w:basedOn w:val="TextcomentariuCaracter"/>
    <w:link w:val="SubiectComentariu"/>
    <w:uiPriority w:val="99"/>
    <w:semiHidden/>
    <w:rPr>
      <w:rFonts w:eastAsia="MS Mincho"/>
      <w:b/>
      <w:bCs/>
      <w:sz w:val="20"/>
      <w:szCs w:val="20"/>
      <w:lang w:val="en-GB"/>
    </w:rPr>
  </w:style>
  <w:style w:type="character" w:customStyle="1" w:styleId="notranslate">
    <w:name w:val="notranslate"/>
    <w:basedOn w:val="Fontdeparagrafimplicit"/>
  </w:style>
  <w:style w:type="paragraph" w:styleId="Indentcorptext2">
    <w:name w:val="Body Text Indent 2"/>
    <w:basedOn w:val="Normal"/>
    <w:link w:val="Indentcorptext2Caracter"/>
    <w:semiHidden/>
    <w:unhideWhenUsed/>
    <w:rsid w:val="00C37E86"/>
    <w:pPr>
      <w:spacing w:line="480" w:lineRule="auto"/>
      <w:ind w:left="283"/>
    </w:pPr>
    <w:rPr>
      <w:rFonts w:eastAsia="MS Mincho"/>
      <w:color w:val="232323"/>
      <w:lang w:eastAsia="ro-RO" w:bidi="ne-NP"/>
    </w:rPr>
  </w:style>
  <w:style w:type="character" w:customStyle="1" w:styleId="Indentcorptext2Caracter">
    <w:name w:val="Indent corp text 2 Caracter"/>
    <w:basedOn w:val="Fontdeparagrafimplicit"/>
    <w:link w:val="Indentcorptext2"/>
    <w:semiHidden/>
    <w:rPr>
      <w:rFonts w:eastAsia="MS Mincho"/>
      <w:color w:val="232323"/>
      <w:sz w:val="20"/>
      <w:szCs w:val="24"/>
      <w:lang w:val="ro-RO" w:eastAsia="ro-RO" w:bidi="ne-NP"/>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C37E86"/>
    <w:rPr>
      <w:rFonts w:eastAsiaTheme="minorEastAsia" w:cs="Arial"/>
      <w:b/>
      <w:caps/>
      <w:color w:val="008080"/>
      <w:kern w:val="32"/>
      <w:sz w:val="24"/>
      <w:lang w:val="ro-RO"/>
    </w:rPr>
  </w:style>
  <w:style w:type="paragraph" w:customStyle="1" w:styleId="NormalbulletPROP">
    <w:name w:val="Normal bullet PROP"/>
    <w:basedOn w:val="Normal"/>
    <w:autoRedefine/>
    <w:uiPriority w:val="99"/>
    <w:rsid w:val="00C37E86"/>
    <w:pPr>
      <w:ind w:left="360" w:hanging="360"/>
    </w:pPr>
    <w:rPr>
      <w:rFonts w:ascii="Times New Roman" w:eastAsia="Calibri" w:hAnsi="Times New Roman" w:cs="Times New Roman"/>
      <w:b/>
      <w:iCs/>
      <w:noProof/>
      <w:u w:val="single"/>
    </w:rPr>
  </w:style>
  <w:style w:type="character" w:customStyle="1" w:styleId="addmd1">
    <w:name w:val="addmd1"/>
    <w:basedOn w:val="Fontdeparagrafimplicit"/>
    <w:rPr>
      <w:sz w:val="20"/>
      <w:szCs w:val="20"/>
    </w:rPr>
  </w:style>
  <w:style w:type="character" w:customStyle="1" w:styleId="LegendCaracter">
    <w:name w:val="Legendă Caracter"/>
    <w:aliases w:val="Table legend Caracter,Tab_Überschrift Caracter,Figure reference Caracter,Tab_†berschrift Caracter,Beschriftung Char2 Caracter,Beschriftung Char1 Char1 Caracter,Beschriftung Char Char Char1 Caracter,Beschriftung Char1 Char Char Caracter"/>
    <w:link w:val="Legend"/>
    <w:uiPriority w:val="35"/>
    <w:locked/>
    <w:rsid w:val="00C37E86"/>
    <w:rPr>
      <w:rFonts w:eastAsiaTheme="minorHAnsi" w:cstheme="minorBidi"/>
      <w:b/>
      <w:bCs/>
      <w:color w:val="365F91"/>
      <w:sz w:val="16"/>
      <w:szCs w:val="16"/>
      <w:lang w:val="en-GB"/>
    </w:rPr>
  </w:style>
  <w:style w:type="paragraph" w:styleId="Legend">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LegendCaracter"/>
    <w:uiPriority w:val="35"/>
    <w:unhideWhenUsed/>
    <w:qFormat/>
    <w:rsid w:val="00C37E86"/>
    <w:pPr>
      <w:spacing w:before="200" w:after="200"/>
      <w:jc w:val="left"/>
    </w:pPr>
    <w:rPr>
      <w:rFonts w:eastAsiaTheme="minorHAnsi" w:cstheme="minorBidi"/>
      <w:b/>
      <w:bCs/>
      <w:color w:val="365F91"/>
      <w:sz w:val="16"/>
      <w:szCs w:val="16"/>
    </w:rPr>
  </w:style>
  <w:style w:type="paragraph" w:customStyle="1" w:styleId="CharCharCharCharCharCharChar">
    <w:name w:val="Char Char Char Char Char Char Char"/>
    <w:basedOn w:val="Normal"/>
    <w:rsid w:val="00C37E86"/>
    <w:pPr>
      <w:spacing w:after="160" w:line="240" w:lineRule="exact"/>
      <w:jc w:val="left"/>
    </w:pPr>
    <w:rPr>
      <w:rFonts w:eastAsia="Batang"/>
    </w:rPr>
  </w:style>
  <w:style w:type="paragraph" w:customStyle="1" w:styleId="BodyA">
    <w:name w:val="Body A"/>
    <w:rsid w:val="00C37E86"/>
    <w:pPr>
      <w:autoSpaceDN/>
      <w:spacing w:line="252" w:lineRule="auto"/>
    </w:pPr>
    <w:rPr>
      <w:rFonts w:ascii="Calibri" w:eastAsia="Calibri" w:hAnsi="Calibri" w:cs="Times New Roman"/>
      <w:color w:val="000000"/>
      <w:u w:color="000000"/>
    </w:rPr>
  </w:style>
  <w:style w:type="character" w:customStyle="1" w:styleId="Hyperlink0">
    <w:name w:val="Hyperlink.0"/>
    <w:basedOn w:val="Fontdeparagrafimplicit"/>
    <w:rPr>
      <w:color w:val="0563C1"/>
      <w:sz w:val="18"/>
      <w:szCs w:val="18"/>
      <w:u w:val="single" w:color="0563C1"/>
    </w:rPr>
  </w:style>
  <w:style w:type="character" w:customStyle="1" w:styleId="Link">
    <w:name w:val="Link"/>
    <w:rPr>
      <w:u w:val="single"/>
    </w:rPr>
  </w:style>
  <w:style w:type="character" w:customStyle="1" w:styleId="Hyperlink1">
    <w:name w:val="Hyperlink.1"/>
    <w:basedOn w:val="Link"/>
    <w:rPr>
      <w:color w:val="000000"/>
      <w:u w:val="single" w:color="000000"/>
    </w:rPr>
  </w:style>
  <w:style w:type="paragraph" w:customStyle="1" w:styleId="Text1">
    <w:name w:val="Text 1"/>
    <w:basedOn w:val="Normal"/>
    <w:rsid w:val="00C37E86"/>
    <w:pPr>
      <w:spacing w:after="240"/>
      <w:ind w:left="482"/>
    </w:pPr>
    <w:rPr>
      <w:rFonts w:ascii="Times New Roman" w:hAnsi="Times New Roman" w:cs="Times New Roman"/>
      <w:lang w:eastAsia="en-GB"/>
    </w:rPr>
  </w:style>
  <w:style w:type="paragraph" w:customStyle="1" w:styleId="NumPar1">
    <w:name w:val="NumPar 1"/>
    <w:basedOn w:val="Titlu1"/>
    <w:next w:val="Text1"/>
    <w:rsid w:val="00C37E86"/>
    <w:pPr>
      <w:keepNext w:val="0"/>
      <w:keepLines w:val="0"/>
      <w:tabs>
        <w:tab w:val="num" w:pos="480"/>
      </w:tabs>
      <w:spacing w:before="0"/>
      <w:ind w:left="480" w:hanging="480"/>
      <w:outlineLvl w:val="9"/>
    </w:pPr>
    <w:rPr>
      <w:rFonts w:ascii="Times New Roman" w:eastAsia="Times New Roman" w:hAnsi="Times New Roman" w:cs="Times New Roman"/>
      <w:b w:val="0"/>
      <w:bCs w:val="0"/>
      <w:kern w:val="28"/>
      <w:sz w:val="24"/>
      <w:szCs w:val="20"/>
      <w:lang w:eastAsia="en-GB"/>
    </w:rPr>
  </w:style>
  <w:style w:type="paragraph" w:styleId="Revizuire">
    <w:name w:val="Revision"/>
    <w:hidden/>
    <w:uiPriority w:val="99"/>
    <w:semiHidden/>
    <w:rsid w:val="00C37E86"/>
    <w:pPr>
      <w:autoSpaceDN/>
      <w:spacing w:after="0" w:line="240" w:lineRule="auto"/>
    </w:pPr>
    <w:rPr>
      <w:rFonts w:asciiTheme="minorHAnsi" w:eastAsiaTheme="minorEastAsia" w:hAnsiTheme="minorHAnsi" w:cstheme="minorBidi"/>
    </w:rPr>
  </w:style>
  <w:style w:type="paragraph" w:customStyle="1" w:styleId="ManualNumPar1">
    <w:name w:val="Manual NumPar 1"/>
    <w:basedOn w:val="Normal"/>
    <w:next w:val="Normal"/>
    <w:rsid w:val="00584303"/>
    <w:pPr>
      <w:ind w:left="850" w:hanging="850"/>
    </w:pPr>
    <w:rPr>
      <w:rFonts w:ascii="Times New Roman" w:hAnsi="Times New Roman" w:cs="Times New Roman"/>
    </w:rPr>
  </w:style>
  <w:style w:type="paragraph" w:customStyle="1" w:styleId="BulletedOffer">
    <w:name w:val="Bulleted Offer"/>
    <w:basedOn w:val="Normal"/>
    <w:qFormat/>
    <w:rsid w:val="00E1507C"/>
    <w:pPr>
      <w:tabs>
        <w:tab w:val="num" w:pos="720"/>
      </w:tabs>
      <w:ind w:left="720"/>
    </w:pPr>
    <w:rPr>
      <w:rFonts w:ascii="Calibri" w:hAnsi="Calibri" w:cs="Times New Roman"/>
      <w:noProof/>
    </w:rPr>
  </w:style>
  <w:style w:type="character" w:styleId="Accentuat">
    <w:name w:val="Emphasis"/>
    <w:basedOn w:val="Fontdeparagrafimplicit"/>
    <w:uiPriority w:val="20"/>
    <w:qFormat/>
    <w:rPr>
      <w:i/>
      <w:iCs/>
    </w:r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Referinnotdesubsol"/>
    <w:rsid w:val="0081010F"/>
    <w:pPr>
      <w:spacing w:after="160" w:line="240" w:lineRule="exact"/>
      <w:jc w:val="left"/>
    </w:pPr>
    <w:rPr>
      <w:rFonts w:eastAsiaTheme="minorHAnsi" w:cstheme="minorBidi"/>
      <w:szCs w:val="22"/>
      <w:vertAlign w:val="superscript"/>
    </w:rPr>
  </w:style>
  <w:style w:type="character" w:customStyle="1" w:styleId="UnresolvedMention2">
    <w:name w:val="Unresolved Mention2"/>
    <w:basedOn w:val="Fontdeparagrafimplicit"/>
    <w:uiPriority w:val="99"/>
    <w:semiHidden/>
    <w:unhideWhenUsed/>
    <w:rsid w:val="006A79BE"/>
    <w:rPr>
      <w:color w:val="605E5C"/>
      <w:shd w:val="clear" w:color="auto" w:fill="E1DFDD"/>
    </w:rPr>
  </w:style>
  <w:style w:type="paragraph" w:customStyle="1" w:styleId="msonormal0">
    <w:name w:val="msonormal"/>
    <w:basedOn w:val="Normal"/>
    <w:rsid w:val="00332ACB"/>
    <w:pPr>
      <w:jc w:val="left"/>
    </w:pPr>
    <w:rPr>
      <w:rFonts w:ascii="Times New Roman" w:hAnsi="Times New Roman" w:cs="Times New Roman"/>
      <w:lang w:eastAsia="en-GB"/>
    </w:rPr>
  </w:style>
  <w:style w:type="paragraph" w:styleId="Tabeldefiguri">
    <w:name w:val="table of figures"/>
    <w:basedOn w:val="Normal"/>
    <w:next w:val="Normal"/>
    <w:uiPriority w:val="99"/>
    <w:unhideWhenUsed/>
    <w:rsid w:val="00DF095F"/>
  </w:style>
  <w:style w:type="character" w:customStyle="1" w:styleId="Heading2Char1">
    <w:name w:val="Heading 2 Char1"/>
    <w:aliases w:val="H2 Char1,Heading 2 Hidden Char1,HD2 Char1,heading2 Char1,palacs csunyan beszel Char1,Attribute Heading 2 Char1,Alfejezet Char1,PLS 2 Char1,PLS 21 Char1,PLS 22 Char1,PLS 23 Char1,num Char1,afsnit Char1,H21 Char1,H22 Char1,H23 Char1"/>
    <w:basedOn w:val="Fontdeparagrafimplicit"/>
    <w:semiHidden/>
    <w:rsid w:val="00D97167"/>
    <w:rPr>
      <w:rFonts w:asciiTheme="majorHAnsi" w:eastAsiaTheme="majorEastAsia" w:hAnsiTheme="majorHAnsi" w:cstheme="majorBidi"/>
      <w:color w:val="0F4761" w:themeColor="accent1" w:themeShade="BF"/>
      <w:sz w:val="26"/>
      <w:szCs w:val="26"/>
      <w:lang w:val="en-GB"/>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qFormat/>
    <w:rsid w:val="0049103C"/>
    <w:pPr>
      <w:spacing w:after="160" w:line="240" w:lineRule="exact"/>
      <w:jc w:val="left"/>
    </w:pPr>
    <w:rPr>
      <w:rFonts w:eastAsiaTheme="minorHAnsi" w:cstheme="minorBidi"/>
      <w:szCs w:val="22"/>
      <w:vertAlign w:val="superscript"/>
    </w:rPr>
  </w:style>
  <w:style w:type="paragraph" w:customStyle="1" w:styleId="broodtekst">
    <w:name w:val="broodtekst"/>
    <w:basedOn w:val="Normal"/>
    <w:link w:val="broodtekstChar"/>
    <w:rsid w:val="009859B0"/>
    <w:pPr>
      <w:spacing w:before="240" w:after="240" w:line="260" w:lineRule="atLeast"/>
    </w:pPr>
    <w:rPr>
      <w:rFonts w:cs="Times New Roman"/>
      <w:sz w:val="24"/>
      <w:lang w:eastAsia="nl-NL"/>
    </w:rPr>
  </w:style>
  <w:style w:type="character" w:customStyle="1" w:styleId="broodtekstChar">
    <w:name w:val="broodtekst Char"/>
    <w:link w:val="broodtekst"/>
    <w:rPr>
      <w:rFonts w:eastAsia="Times New Roman" w:cs="Times New Roman"/>
      <w:sz w:val="24"/>
      <w:szCs w:val="24"/>
      <w:lang w:val="ro-RO" w:eastAsia="nl-NL"/>
    </w:rPr>
  </w:style>
  <w:style w:type="paragraph" w:customStyle="1" w:styleId="DOCtextfigures">
    <w:name w:val="DOC textfigures"/>
    <w:basedOn w:val="Normal"/>
    <w:link w:val="DOCtextfiguresChar"/>
    <w:qFormat/>
    <w:rsid w:val="006432C6"/>
    <w:pPr>
      <w:jc w:val="center"/>
    </w:pPr>
    <w:rPr>
      <w:rFonts w:ascii="Times New Roman" w:hAnsi="Times New Roman" w:cs="Times New Roman"/>
      <w:sz w:val="18"/>
      <w:szCs w:val="18"/>
      <w:lang w:eastAsia="ro-RO"/>
    </w:rPr>
  </w:style>
  <w:style w:type="character" w:customStyle="1" w:styleId="DOCtextfiguresChar">
    <w:name w:val="DOC textfigures Char"/>
    <w:basedOn w:val="Fontdeparagrafimplicit"/>
    <w:link w:val="DOCtextfigures"/>
    <w:rPr>
      <w:rFonts w:ascii="Times New Roman" w:eastAsia="Times New Roman" w:hAnsi="Times New Roman" w:cs="Times New Roman"/>
      <w:sz w:val="18"/>
      <w:szCs w:val="18"/>
      <w:lang w:val="ro-RO" w:eastAsia="ro-RO"/>
    </w:rPr>
  </w:style>
  <w:style w:type="paragraph" w:customStyle="1" w:styleId="EYtabelbullet">
    <w:name w:val="EY_tabel_bullet"/>
    <w:basedOn w:val="Normal"/>
    <w:link w:val="EYtabelbulletChar"/>
    <w:uiPriority w:val="1"/>
    <w:qFormat/>
    <w:rsid w:val="00F33DF4"/>
    <w:pPr>
      <w:spacing w:before="50" w:after="50"/>
      <w:ind w:left="360"/>
      <w:jc w:val="left"/>
    </w:pPr>
    <w:rPr>
      <w:rFonts w:eastAsia="Arial"/>
      <w:color w:val="232323"/>
      <w:sz w:val="18"/>
    </w:rPr>
  </w:style>
  <w:style w:type="character" w:customStyle="1" w:styleId="EYtabelbulletChar">
    <w:name w:val="EY_tabel_bullet Char"/>
    <w:basedOn w:val="Fontdeparagrafimplicit"/>
    <w:link w:val="EYtabelbullet"/>
    <w:uiPriority w:val="1"/>
    <w:rPr>
      <w:color w:val="232323"/>
      <w:sz w:val="18"/>
      <w:szCs w:val="24"/>
      <w:lang w:val="ro-RO"/>
    </w:rPr>
  </w:style>
  <w:style w:type="paragraph" w:customStyle="1" w:styleId="EYheading2">
    <w:name w:val="EY_heading_2"/>
    <w:basedOn w:val="Normal"/>
    <w:uiPriority w:val="99"/>
    <w:qFormat/>
    <w:rsid w:val="00F33DF4"/>
    <w:pPr>
      <w:keepNext/>
      <w:numPr>
        <w:ilvl w:val="1"/>
      </w:numPr>
      <w:tabs>
        <w:tab w:val="left" w:pos="0"/>
      </w:tabs>
      <w:ind w:left="1080"/>
      <w:jc w:val="left"/>
      <w:outlineLvl w:val="1"/>
    </w:pPr>
    <w:rPr>
      <w:color w:val="747480"/>
      <w:kern w:val="12"/>
      <w:sz w:val="28"/>
    </w:rPr>
  </w:style>
  <w:style w:type="paragraph" w:customStyle="1" w:styleId="EYheading3">
    <w:name w:val="EY_heading 3"/>
    <w:basedOn w:val="Normal"/>
    <w:uiPriority w:val="99"/>
    <w:qFormat/>
    <w:rsid w:val="00F33DF4"/>
    <w:pPr>
      <w:numPr>
        <w:ilvl w:val="2"/>
      </w:numPr>
      <w:tabs>
        <w:tab w:val="left" w:pos="709"/>
        <w:tab w:val="left" w:pos="993"/>
      </w:tabs>
      <w:ind w:left="1800"/>
      <w:jc w:val="left"/>
      <w:outlineLvl w:val="2"/>
    </w:pPr>
    <w:rPr>
      <w:color w:val="747480"/>
      <w:kern w:val="12"/>
      <w:sz w:val="26"/>
    </w:rPr>
  </w:style>
  <w:style w:type="paragraph" w:customStyle="1" w:styleId="EYheading4">
    <w:name w:val="EY_heading 4"/>
    <w:basedOn w:val="Normal"/>
    <w:uiPriority w:val="99"/>
    <w:qFormat/>
    <w:rsid w:val="00F33DF4"/>
    <w:pPr>
      <w:keepNext/>
      <w:numPr>
        <w:ilvl w:val="3"/>
      </w:numPr>
      <w:tabs>
        <w:tab w:val="left" w:pos="426"/>
        <w:tab w:val="num" w:pos="851"/>
      </w:tabs>
      <w:ind w:left="2520"/>
      <w:jc w:val="left"/>
      <w:outlineLvl w:val="3"/>
    </w:pPr>
    <w:rPr>
      <w:color w:val="747480"/>
      <w:kern w:val="12"/>
      <w:sz w:val="26"/>
    </w:rPr>
  </w:style>
  <w:style w:type="paragraph" w:customStyle="1" w:styleId="TableParagraph">
    <w:name w:val="Table Paragraph"/>
    <w:basedOn w:val="Normal"/>
    <w:uiPriority w:val="1"/>
    <w:qFormat/>
    <w:rsid w:val="00EA7E74"/>
    <w:pPr>
      <w:widowControl w:val="0"/>
      <w:autoSpaceDE w:val="0"/>
      <w:autoSpaceDN w:val="0"/>
      <w:ind w:left="107"/>
      <w:jc w:val="left"/>
    </w:pPr>
    <w:rPr>
      <w:rFonts w:ascii="Trebuchet MS" w:eastAsia="Trebuchet MS" w:hAnsi="Trebuchet MS" w:cs="Trebuchet MS"/>
      <w:szCs w:val="22"/>
    </w:rPr>
  </w:style>
  <w:style w:type="character" w:customStyle="1" w:styleId="Titlu6Caracter">
    <w:name w:val="Titlu 6 Caracter"/>
    <w:basedOn w:val="Fontdeparagrafimplicit"/>
    <w:link w:val="Titlu6"/>
    <w:uiPriority w:val="9"/>
    <w:semiHidden/>
    <w:rPr>
      <w:rFonts w:ascii="Arial Bold" w:eastAsia="MS Gothic" w:hAnsi="Arial Bold" w:cs="Arial Bold"/>
      <w:color w:val="111111"/>
      <w:szCs w:val="24"/>
      <w:lang w:val="fr-FR" w:eastAsia="ro-RO" w:bidi="ne-NP"/>
    </w:rPr>
  </w:style>
  <w:style w:type="paragraph" w:customStyle="1" w:styleId="ListDash">
    <w:name w:val="List Dash"/>
    <w:basedOn w:val="Normal"/>
    <w:rsid w:val="009B25E3"/>
    <w:pPr>
      <w:tabs>
        <w:tab w:val="num" w:pos="283"/>
      </w:tabs>
      <w:spacing w:after="240"/>
      <w:ind w:left="283" w:hanging="283"/>
    </w:pPr>
    <w:rPr>
      <w:rFonts w:ascii="Times New Roman" w:hAnsi="Times New Roman" w:cs="Times New Roman"/>
    </w:rPr>
  </w:style>
  <w:style w:type="paragraph" w:customStyle="1" w:styleId="P68B1DB1-Normal3">
    <w:name w:val="P68B1DB1-Normal3"/>
    <w:basedOn w:val="Normal"/>
    <w:rsid w:val="00736DA4"/>
    <w:pPr>
      <w:jc w:val="left"/>
    </w:pPr>
    <w:rPr>
      <w:rFonts w:eastAsiaTheme="minorHAnsi" w:cstheme="minorBidi"/>
      <w:kern w:val="2"/>
      <w:lang w:val="ro" w:eastAsia="en-GB"/>
      <w14:ligatures w14:val="standardContextual"/>
    </w:rPr>
  </w:style>
  <w:style w:type="paragraph" w:customStyle="1" w:styleId="P68B1DB1-Normal4">
    <w:name w:val="P68B1DB1-Normal4"/>
    <w:basedOn w:val="Normal"/>
    <w:uiPriority w:val="1"/>
    <w:rsid w:val="00736DA4"/>
    <w:pPr>
      <w:jc w:val="left"/>
    </w:pPr>
    <w:rPr>
      <w:rFonts w:eastAsiaTheme="minorHAnsi" w:cstheme="minorBidi"/>
      <w:b/>
      <w:kern w:val="2"/>
      <w:lang w:val="ro" w:eastAsia="en-GB"/>
      <w14:ligatures w14:val="standardContextual"/>
    </w:rPr>
  </w:style>
  <w:style w:type="paragraph" w:customStyle="1" w:styleId="P68B1DB1-ListParagraph5">
    <w:name w:val="P68B1DB1-ListParagraph5"/>
    <w:basedOn w:val="Listparagraf"/>
    <w:rsid w:val="00736DA4"/>
    <w:pPr>
      <w:jc w:val="left"/>
    </w:pPr>
    <w:rPr>
      <w:rFonts w:cstheme="minorBidi"/>
      <w:kern w:val="2"/>
      <w:szCs w:val="20"/>
      <w:lang w:val="ro" w:eastAsia="en-GB"/>
      <w14:ligatures w14:val="standardContextual"/>
    </w:rPr>
  </w:style>
  <w:style w:type="paragraph" w:customStyle="1" w:styleId="P68B1DB1-Normal6">
    <w:name w:val="P68B1DB1-Normal6"/>
    <w:basedOn w:val="Normal"/>
    <w:rsid w:val="00736DA4"/>
    <w:pPr>
      <w:jc w:val="left"/>
    </w:pPr>
    <w:rPr>
      <w:rFonts w:eastAsiaTheme="minorHAnsi"/>
      <w:kern w:val="2"/>
      <w:lang w:val="ro" w:eastAsia="en-GB"/>
      <w14:ligatures w14:val="standardContextual"/>
    </w:rPr>
  </w:style>
  <w:style w:type="paragraph" w:customStyle="1" w:styleId="TableTitle">
    <w:name w:val="Table Title"/>
    <w:basedOn w:val="Tabeldefiguri"/>
    <w:next w:val="Normal"/>
    <w:uiPriority w:val="3"/>
    <w:qFormat/>
    <w:rsid w:val="00BB4978"/>
    <w:pPr>
      <w:pBdr>
        <w:left w:val="single" w:sz="4" w:space="5" w:color="4EA72E" w:themeColor="accent6"/>
      </w:pBdr>
      <w:spacing w:before="160"/>
      <w:ind w:left="360"/>
      <w:jc w:val="left"/>
    </w:pPr>
    <w:rPr>
      <w:rFonts w:eastAsiaTheme="minorHAnsi" w:cstheme="minorBidi"/>
      <w:noProof/>
      <w:color w:val="4EA72E" w:themeColor="accent6"/>
      <w:kern w:val="2"/>
      <w:szCs w:val="22"/>
      <w14:ligatures w14:val="standardContextual"/>
    </w:rPr>
  </w:style>
  <w:style w:type="paragraph" w:customStyle="1" w:styleId="CoverTitle">
    <w:name w:val="Cover Title"/>
    <w:basedOn w:val="Titlu"/>
    <w:uiPriority w:val="24"/>
    <w:unhideWhenUsed/>
    <w:qFormat/>
    <w:rsid w:val="00CB4F79"/>
    <w:pPr>
      <w:pBdr>
        <w:bottom w:val="none" w:sz="0" w:space="0" w:color="auto"/>
      </w:pBdr>
      <w:spacing w:after="240"/>
      <w:jc w:val="right"/>
    </w:pPr>
    <w:rPr>
      <w:rFonts w:asciiTheme="majorHAnsi" w:eastAsiaTheme="majorEastAsia" w:hAnsiTheme="majorHAnsi" w:cstheme="majorBidi"/>
      <w:b/>
      <w:color w:val="auto"/>
      <w:spacing w:val="0"/>
      <w:kern w:val="28"/>
      <w:sz w:val="80"/>
      <w:szCs w:val="56"/>
      <w14:ligatures w14:val="standardContextual"/>
    </w:rPr>
  </w:style>
  <w:style w:type="paragraph" w:customStyle="1" w:styleId="CoverSubject">
    <w:name w:val="Cover Subject"/>
    <w:basedOn w:val="CoverTitle"/>
    <w:uiPriority w:val="24"/>
    <w:unhideWhenUsed/>
    <w:qFormat/>
    <w:rsid w:val="00CB4F79"/>
    <w:pPr>
      <w:spacing w:after="360"/>
    </w:pPr>
    <w:rPr>
      <w:b w:val="0"/>
      <w:bCs/>
      <w:color w:val="E97132" w:themeColor="accent2"/>
    </w:rPr>
  </w:style>
  <w:style w:type="paragraph" w:customStyle="1" w:styleId="CoverText">
    <w:name w:val="Cover Text"/>
    <w:basedOn w:val="Normal"/>
    <w:uiPriority w:val="24"/>
    <w:unhideWhenUsed/>
    <w:qFormat/>
    <w:rsid w:val="00CB4F79"/>
    <w:pPr>
      <w:spacing w:before="240"/>
      <w:contextualSpacing/>
      <w:jc w:val="right"/>
      <w:textDirection w:val="btLr"/>
    </w:pPr>
    <w:rPr>
      <w:rFonts w:eastAsiaTheme="minorHAnsi" w:cs="Calibri"/>
      <w:color w:val="232323"/>
      <w:kern w:val="2"/>
      <w:szCs w:val="22"/>
      <w14:ligatures w14:val="standardContextual"/>
    </w:rPr>
  </w:style>
  <w:style w:type="paragraph" w:customStyle="1" w:styleId="Normal4">
    <w:name w:val="Normal 4"/>
    <w:basedOn w:val="Normal"/>
    <w:qFormat/>
    <w:rsid w:val="00314E65"/>
    <w:pPr>
      <w:ind w:left="1276"/>
    </w:pPr>
    <w:rPr>
      <w:rFonts w:cs="Times New Roman"/>
      <w:snapToGrid w:val="0"/>
      <w:szCs w:val="22"/>
      <w:lang w:eastAsia="hu-HU"/>
    </w:rPr>
  </w:style>
  <w:style w:type="paragraph" w:customStyle="1" w:styleId="DefaultText">
    <w:name w:val="Default Text"/>
    <w:basedOn w:val="Normal"/>
    <w:rsid w:val="00324F5D"/>
    <w:pPr>
      <w:jc w:val="left"/>
    </w:pPr>
    <w:rPr>
      <w:rFonts w:ascii="Times New Roman" w:hAnsi="Times New Roman" w:cs="Times New Roman"/>
      <w:noProof/>
    </w:rPr>
  </w:style>
  <w:style w:type="paragraph" w:customStyle="1" w:styleId="GraphTitle">
    <w:name w:val="Graph Title"/>
    <w:basedOn w:val="TableTitle"/>
    <w:next w:val="Normal"/>
    <w:uiPriority w:val="4"/>
    <w:qFormat/>
    <w:rsid w:val="00BB5C96"/>
    <w:pPr>
      <w:ind w:left="357" w:hanging="357"/>
    </w:pPr>
  </w:style>
  <w:style w:type="character" w:customStyle="1" w:styleId="Titlu8Caracter">
    <w:name w:val="Titlu 8 Caracter"/>
    <w:basedOn w:val="Fontdeparagrafimplicit"/>
    <w:link w:val="Titlu8"/>
    <w:uiPriority w:val="9"/>
    <w:semiHidden/>
    <w:rPr>
      <w:rFonts w:ascii="Trebuchet MS" w:eastAsia="Times New Roman" w:hAnsi="Trebuchet MS" w:cs="Calibri"/>
      <w:b/>
      <w:bCs/>
      <w:sz w:val="20"/>
      <w:szCs w:val="20"/>
      <w:lang w:val="en-GB" w:eastAsia="en-GB"/>
    </w:rPr>
  </w:style>
  <w:style w:type="character" w:customStyle="1" w:styleId="Titlu9Caracter">
    <w:name w:val="Titlu 9 Caracter"/>
    <w:basedOn w:val="Fontdeparagrafimplicit"/>
    <w:link w:val="Titlu9"/>
    <w:uiPriority w:val="9"/>
    <w:semiHidden/>
    <w:rPr>
      <w:rFonts w:ascii="Trebuchet MS" w:eastAsia="Times New Roman" w:hAnsi="Trebuchet MS" w:cs="Calibri"/>
      <w:i/>
      <w:iCs/>
      <w:sz w:val="20"/>
      <w:szCs w:val="20"/>
      <w:lang w:val="en-GB" w:eastAsia="en-GB"/>
    </w:rPr>
  </w:style>
  <w:style w:type="character" w:customStyle="1" w:styleId="FollowedHyperlink1">
    <w:name w:val="FollowedHyperlink1"/>
    <w:basedOn w:val="Fontdeparagrafimplicit"/>
    <w:uiPriority w:val="99"/>
    <w:semiHidden/>
    <w:unhideWhenUsed/>
    <w:rsid w:val="0049459F"/>
    <w:rPr>
      <w:color w:val="954F72"/>
      <w:u w:val="single"/>
    </w:rPr>
  </w:style>
  <w:style w:type="paragraph" w:styleId="PreformatatHTML">
    <w:name w:val="HTML Preformatted"/>
    <w:basedOn w:val="Normal"/>
    <w:link w:val="PreformatatHTMLCaracter"/>
    <w:uiPriority w:val="99"/>
    <w:semiHidden/>
    <w:unhideWhenUsed/>
    <w:rsid w:val="0049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PreformatatHTMLCaracter">
    <w:name w:val="Preformatat HTML Caracter"/>
    <w:basedOn w:val="Fontdeparagrafimplicit"/>
    <w:link w:val="PreformatatHTML"/>
    <w:uiPriority w:val="99"/>
    <w:semiHidden/>
    <w:rPr>
      <w:rFonts w:ascii="Courier New" w:eastAsia="Times New Roman" w:hAnsi="Courier New" w:cs="Courier New"/>
      <w:sz w:val="20"/>
      <w:szCs w:val="20"/>
      <w:lang w:val="ro-RO"/>
    </w:rPr>
  </w:style>
  <w:style w:type="paragraph" w:styleId="Subtitlu">
    <w:name w:val="Subtitle"/>
    <w:basedOn w:val="Normal"/>
    <w:next w:val="Normal"/>
    <w:link w:val="SubtitluCaracter"/>
    <w:uiPriority w:val="11"/>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jc w:val="center"/>
    </w:pPr>
    <w:rPr>
      <w:rFonts w:ascii="Calibri Light" w:hAnsi="Calibri Light" w:cs="Times New Roman"/>
      <w:sz w:val="24"/>
      <w:lang w:eastAsia="en-GB"/>
    </w:rPr>
  </w:style>
  <w:style w:type="character" w:customStyle="1" w:styleId="SubtitluCaracter">
    <w:name w:val="Subtitlu Caracter"/>
    <w:basedOn w:val="Fontdeparagrafimplicit"/>
    <w:link w:val="Subtitlu"/>
    <w:uiPriority w:val="11"/>
    <w:rPr>
      <w:rFonts w:ascii="Calibri Light" w:eastAsia="Times New Roman" w:hAnsi="Calibri Light" w:cs="Times New Roman"/>
      <w:sz w:val="24"/>
      <w:szCs w:val="24"/>
      <w:lang w:val="en-GB" w:eastAsia="en-GB"/>
    </w:rPr>
  </w:style>
  <w:style w:type="paragraph" w:styleId="Textsimplu">
    <w:name w:val="Plain Text"/>
    <w:basedOn w:val="Normal"/>
    <w:link w:val="TextsimpluCaracter"/>
    <w:uiPriority w:val="99"/>
    <w:semiHidden/>
    <w:unhideWhenUsed/>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nsolas" w:eastAsia="Calibri" w:hAnsi="Consolas" w:cs="Calibri"/>
      <w:sz w:val="21"/>
      <w:szCs w:val="21"/>
      <w:lang w:val="bg-BG" w:eastAsia="ar-SA"/>
    </w:rPr>
  </w:style>
  <w:style w:type="character" w:customStyle="1" w:styleId="TextsimpluCaracter">
    <w:name w:val="Text simplu Caracter"/>
    <w:basedOn w:val="Fontdeparagrafimplicit"/>
    <w:link w:val="Textsimplu"/>
    <w:uiPriority w:val="99"/>
    <w:semiHidden/>
    <w:rPr>
      <w:rFonts w:ascii="Consolas" w:eastAsia="Calibri" w:hAnsi="Consolas" w:cs="Calibri"/>
      <w:sz w:val="21"/>
      <w:szCs w:val="21"/>
      <w:lang w:val="bg-BG" w:eastAsia="ar-SA"/>
    </w:rPr>
  </w:style>
  <w:style w:type="paragraph" w:styleId="Citat">
    <w:name w:val="Quote"/>
    <w:basedOn w:val="Normal"/>
    <w:next w:val="Normal"/>
    <w:link w:val="CitatCaracter"/>
    <w:uiPriority w:val="29"/>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160" w:line="264" w:lineRule="auto"/>
      <w:ind w:left="864" w:right="864"/>
      <w:jc w:val="center"/>
    </w:pPr>
    <w:rPr>
      <w:rFonts w:ascii="Calibri Light" w:hAnsi="Calibri Light" w:cs="Times New Roman"/>
      <w:i/>
      <w:iCs/>
      <w:sz w:val="24"/>
      <w:lang w:eastAsia="en-GB"/>
    </w:rPr>
  </w:style>
  <w:style w:type="character" w:customStyle="1" w:styleId="CitatCaracter">
    <w:name w:val="Citat Caracter"/>
    <w:basedOn w:val="Fontdeparagrafimplicit"/>
    <w:link w:val="Citat"/>
    <w:uiPriority w:val="29"/>
    <w:rPr>
      <w:rFonts w:ascii="Calibri Light" w:eastAsia="Times New Roman" w:hAnsi="Calibri Light" w:cs="Times New Roman"/>
      <w:i/>
      <w:iCs/>
      <w:sz w:val="24"/>
      <w:szCs w:val="24"/>
      <w:lang w:val="en-GB" w:eastAsia="en-GB"/>
    </w:rPr>
  </w:style>
  <w:style w:type="paragraph" w:styleId="Citatintens">
    <w:name w:val="Intense Quote"/>
    <w:basedOn w:val="Normal"/>
    <w:next w:val="Normal"/>
    <w:link w:val="CitatintensCaracter"/>
    <w:uiPriority w:val="30"/>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ind w:left="936" w:right="936"/>
      <w:jc w:val="center"/>
    </w:pPr>
    <w:rPr>
      <w:rFonts w:ascii="Calibri Light" w:hAnsi="Calibri Light" w:cs="Times New Roman"/>
      <w:sz w:val="26"/>
      <w:szCs w:val="26"/>
      <w:lang w:eastAsia="en-GB"/>
    </w:rPr>
  </w:style>
  <w:style w:type="character" w:customStyle="1" w:styleId="CitatintensCaracter">
    <w:name w:val="Citat intens Caracter"/>
    <w:basedOn w:val="Fontdeparagrafimplicit"/>
    <w:link w:val="Citatintens"/>
    <w:uiPriority w:val="30"/>
    <w:rPr>
      <w:rFonts w:ascii="Calibri Light" w:eastAsia="Times New Roman" w:hAnsi="Calibri Light" w:cs="Times New Roman"/>
      <w:sz w:val="26"/>
      <w:szCs w:val="26"/>
      <w:lang w:val="en-GB" w:eastAsia="en-GB"/>
    </w:rPr>
  </w:style>
  <w:style w:type="character" w:customStyle="1" w:styleId="BCaracter">
    <w:name w:val="B Caracter"/>
    <w:link w:val="B"/>
    <w:locked/>
    <w:rsid w:val="0049459F"/>
    <w:rPr>
      <w:rFonts w:ascii="Times New Roman" w:eastAsia="Times New Roman" w:hAnsi="Times New Roman" w:cs="Times New Roman"/>
      <w:sz w:val="20"/>
      <w:szCs w:val="24"/>
      <w:lang w:val="ro-RO" w:eastAsia="ro-RO"/>
    </w:rPr>
  </w:style>
  <w:style w:type="paragraph" w:customStyle="1" w:styleId="B">
    <w:name w:val="B"/>
    <w:link w:val="BCaracter"/>
    <w:rsid w:val="0049459F"/>
    <w:pPr>
      <w:widowControl w:val="0"/>
      <w:tabs>
        <w:tab w:val="left" w:pos="720"/>
      </w:tabs>
      <w:autoSpaceDE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Style1Char">
    <w:name w:val="Style1 Char"/>
    <w:basedOn w:val="Titlu1Caracter"/>
    <w:link w:val="Style1"/>
    <w:uiPriority w:val="99"/>
    <w:locked/>
    <w:rsid w:val="00004FC7"/>
    <w:rPr>
      <w:rFonts w:asciiTheme="majorHAnsi" w:eastAsiaTheme="majorEastAsia" w:hAnsiTheme="majorHAnsi" w:cstheme="majorBidi"/>
      <w:b/>
      <w:bCs/>
      <w:szCs w:val="28"/>
      <w:lang w:val="ro-RO"/>
    </w:rPr>
  </w:style>
  <w:style w:type="paragraph" w:customStyle="1" w:styleId="Style1">
    <w:name w:val="Style1"/>
    <w:basedOn w:val="Titlu1"/>
    <w:link w:val="Style1Char"/>
    <w:uiPriority w:val="99"/>
    <w:qFormat/>
    <w:rsid w:val="00004FC7"/>
    <w:rPr>
      <w:rFonts w:asciiTheme="majorHAnsi" w:eastAsiaTheme="majorEastAsia" w:hAnsiTheme="majorHAnsi" w:cstheme="majorBidi"/>
    </w:rPr>
  </w:style>
  <w:style w:type="paragraph" w:customStyle="1" w:styleId="Section4heading">
    <w:name w:val="Section 4 heading"/>
    <w:basedOn w:val="Normal"/>
    <w:next w:val="Normal"/>
    <w:uiPriority w:val="99"/>
    <w:rsid w:val="0049459F"/>
    <w:pPr>
      <w:widowControl w:val="0"/>
      <w:tabs>
        <w:tab w:val="left" w:pos="851"/>
        <w:tab w:val="left" w:pos="1832"/>
        <w:tab w:val="left" w:pos="2748"/>
        <w:tab w:val="left" w:pos="3664"/>
        <w:tab w:val="left" w:pos="4580"/>
        <w:tab w:val="left" w:pos="5496"/>
        <w:tab w:val="left" w:pos="6412"/>
        <w:tab w:val="left" w:pos="7328"/>
        <w:tab w:val="left" w:pos="8244"/>
        <w:tab w:val="left" w:leader="dot" w:pos="8748"/>
        <w:tab w:val="left" w:pos="9160"/>
        <w:tab w:val="left" w:pos="10076"/>
        <w:tab w:val="left" w:pos="10992"/>
        <w:tab w:val="left" w:pos="11908"/>
        <w:tab w:val="left" w:pos="12824"/>
        <w:tab w:val="left" w:pos="13740"/>
        <w:tab w:val="left" w:pos="14656"/>
      </w:tabs>
      <w:autoSpaceDE w:val="0"/>
      <w:autoSpaceDN w:val="0"/>
      <w:spacing w:after="240"/>
      <w:jc w:val="center"/>
    </w:pPr>
    <w:rPr>
      <w:rFonts w:ascii="Times New Roman" w:hAnsi="Times New Roman" w:cs="Times New Roman"/>
      <w:b/>
      <w:sz w:val="36"/>
    </w:rPr>
  </w:style>
  <w:style w:type="paragraph" w:customStyle="1" w:styleId="StyleHeader1-ClausesAfter0pt">
    <w:name w:val="Style Header 1 - Clauses + After:  0 pt"/>
    <w:basedOn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hAnsi="Times New Roman" w:cs="Times New Roman"/>
      <w:bCs/>
      <w:lang w:val="es-ES_tradnl"/>
    </w:rPr>
  </w:style>
  <w:style w:type="character" w:customStyle="1" w:styleId="Bullets1Char">
    <w:name w:val="Bullets 1 Char"/>
    <w:basedOn w:val="Fontdeparagrafimplicit"/>
    <w:link w:val="Bullets1"/>
    <w:uiPriority w:val="99"/>
    <w:locked/>
    <w:rsid w:val="0049459F"/>
    <w:rPr>
      <w:rFonts w:ascii="Times New Roman" w:eastAsia="Times New Roman" w:hAnsi="Times New Roman" w:cs="Calibri"/>
      <w:color w:val="000000"/>
      <w:sz w:val="20"/>
      <w:szCs w:val="24"/>
      <w:lang w:val="ro-RO"/>
    </w:rPr>
  </w:style>
  <w:style w:type="paragraph" w:customStyle="1" w:styleId="Bullets1">
    <w:name w:val="Bullets 1"/>
    <w:basedOn w:val="Normal"/>
    <w:next w:val="Normal"/>
    <w:link w:val="Bullets1Char"/>
    <w:autoRedefine/>
    <w:uiPriority w:val="99"/>
    <w:qFormat/>
    <w:rsid w:val="00424762"/>
    <w:p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ind w:left="1080"/>
      <w:contextualSpacing/>
    </w:pPr>
    <w:rPr>
      <w:rFonts w:ascii="Times New Roman" w:hAnsi="Times New Roman" w:cs="Calibri"/>
      <w:color w:val="000000"/>
    </w:rPr>
  </w:style>
  <w:style w:type="character" w:customStyle="1" w:styleId="SubList1Char">
    <w:name w:val="Sub List 1 Char"/>
    <w:basedOn w:val="Fontdeparagrafimplicit"/>
    <w:link w:val="SubList1"/>
    <w:locked/>
    <w:rsid w:val="0049459F"/>
    <w:rPr>
      <w:rFonts w:eastAsia="MS Mincho" w:cs="Times New Roman"/>
      <w:sz w:val="20"/>
      <w:szCs w:val="24"/>
      <w:lang w:val="en-GB" w:eastAsia="zh-HK"/>
    </w:rPr>
  </w:style>
  <w:style w:type="paragraph" w:customStyle="1" w:styleId="SubList1">
    <w:name w:val="Sub List 1"/>
    <w:basedOn w:val="Normal"/>
    <w:link w:val="SubList1Char"/>
    <w:rsid w:val="0049459F"/>
    <w:pPr>
      <w:tabs>
        <w:tab w:val="left" w:pos="851"/>
        <w:tab w:val="left" w:pos="16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eastAsia="MS Mincho" w:cs="Times New Roman"/>
      <w:lang w:eastAsia="zh-HK"/>
    </w:rPr>
  </w:style>
  <w:style w:type="character" w:customStyle="1" w:styleId="2ndheadingChar">
    <w:name w:val="2nd heading Char"/>
    <w:basedOn w:val="Style1Char"/>
    <w:link w:val="2ndheading"/>
    <w:locked/>
    <w:rsid w:val="0049459F"/>
    <w:rPr>
      <w:rFonts w:ascii="Calibri" w:eastAsiaTheme="majorEastAsia" w:hAnsi="Calibri" w:cstheme="majorBidi"/>
      <w:b/>
      <w:bCs/>
      <w:sz w:val="24"/>
      <w:szCs w:val="32"/>
      <w:lang w:val="ro-RO"/>
    </w:rPr>
  </w:style>
  <w:style w:type="paragraph" w:customStyle="1" w:styleId="2ndheading">
    <w:name w:val="2nd heading"/>
    <w:basedOn w:val="Style1"/>
    <w:link w:val="2ndheadingChar"/>
    <w:qFormat/>
    <w:rsid w:val="0049459F"/>
    <w:pPr>
      <w:tabs>
        <w:tab w:val="clear" w:pos="1672"/>
      </w:tabs>
      <w:ind w:left="720" w:hanging="360"/>
    </w:pPr>
    <w:rPr>
      <w:rFonts w:ascii="Calibri" w:hAnsi="Calibri"/>
      <w:sz w:val="24"/>
      <w:szCs w:val="32"/>
    </w:rPr>
  </w:style>
  <w:style w:type="character" w:customStyle="1" w:styleId="3rdheadingChar">
    <w:name w:val="3rd heading Char"/>
    <w:basedOn w:val="Style1Char"/>
    <w:link w:val="3rdheading"/>
    <w:locked/>
    <w:rsid w:val="0049459F"/>
    <w:rPr>
      <w:rFonts w:ascii="Trebuchet MS" w:eastAsiaTheme="majorEastAsia" w:hAnsi="Trebuchet MS" w:cstheme="majorBidi"/>
      <w:b/>
      <w:bCs/>
      <w:color w:val="006666"/>
      <w:sz w:val="32"/>
      <w:szCs w:val="28"/>
      <w:lang w:val="ro-RO"/>
    </w:rPr>
  </w:style>
  <w:style w:type="paragraph" w:customStyle="1" w:styleId="3rdheading">
    <w:name w:val="3rd heading"/>
    <w:basedOn w:val="Style1"/>
    <w:link w:val="3rdheadingChar"/>
    <w:qFormat/>
    <w:rsid w:val="0049459F"/>
    <w:pPr>
      <w:tabs>
        <w:tab w:val="clear" w:pos="1672"/>
      </w:tabs>
      <w:ind w:left="1080" w:firstLine="0"/>
    </w:pPr>
    <w:rPr>
      <w:rFonts w:ascii="Trebuchet MS" w:hAnsi="Trebuchet MS"/>
      <w:color w:val="006666"/>
      <w:sz w:val="32"/>
    </w:rPr>
  </w:style>
  <w:style w:type="paragraph" w:customStyle="1" w:styleId="FootnotesymbolCharCaracterChar">
    <w:name w:val="Footnote symbol Char Caracter Char"/>
    <w:aliases w:val="BVI fnr Char Caracter Char,Footnote Refernece Char Caracter Char,callout Char Caracter Char,ftref Char Caracter Char,Footnotes refss Char Caracter Char"/>
    <w:basedOn w:val="Normal"/>
    <w:next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exact"/>
      <w:jc w:val="left"/>
    </w:pPr>
    <w:rPr>
      <w:rFonts w:eastAsia="Calibri" w:cs="Times New Roman"/>
      <w:szCs w:val="22"/>
      <w:vertAlign w:val="superscript"/>
    </w:rPr>
  </w:style>
  <w:style w:type="character" w:customStyle="1" w:styleId="bulletsChar">
    <w:name w:val="bullets Char"/>
    <w:link w:val="bullets"/>
    <w:locked/>
    <w:rsid w:val="0049459F"/>
    <w:rPr>
      <w:rFonts w:ascii="Trebuchet MS" w:eastAsiaTheme="minorHAnsi" w:hAnsi="Trebuchet MS" w:cs="Calibri"/>
      <w:kern w:val="12"/>
      <w:sz w:val="20"/>
      <w:szCs w:val="20"/>
      <w:lang w:val="ro-RO" w:eastAsia="ar-SA"/>
    </w:rPr>
  </w:style>
  <w:style w:type="paragraph" w:customStyle="1" w:styleId="bullets">
    <w:name w:val="bullets"/>
    <w:basedOn w:val="Listparagraf"/>
    <w:link w:val="bulletsChar"/>
    <w:qFormat/>
    <w:rsid w:val="00424762"/>
    <w:p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hanging="360"/>
    </w:pPr>
    <w:rPr>
      <w:rFonts w:ascii="Trebuchet MS" w:hAnsi="Trebuchet MS" w:cs="Calibri"/>
      <w:kern w:val="12"/>
      <w:szCs w:val="20"/>
      <w:lang w:eastAsia="ar-SA"/>
    </w:rPr>
  </w:style>
  <w:style w:type="paragraph" w:customStyle="1" w:styleId="Bulets">
    <w:name w:val="Bulets"/>
    <w:basedOn w:val="Normal"/>
    <w:uiPriority w:val="99"/>
    <w:rsid w:val="0049459F"/>
    <w:pPr>
      <w:widowControl w:val="0"/>
      <w:tabs>
        <w:tab w:val="left" w:pos="720"/>
      </w:tabs>
      <w:autoSpaceDE w:val="0"/>
      <w:autoSpaceDN w:val="0"/>
      <w:adjustRightInd w:val="0"/>
    </w:pPr>
  </w:style>
  <w:style w:type="character" w:styleId="Textsubstituent">
    <w:name w:val="Placeholder Text"/>
    <w:basedOn w:val="Fontdeparagrafimplicit"/>
    <w:uiPriority w:val="99"/>
    <w:semiHidden/>
    <w:rsid w:val="0049459F"/>
    <w:rPr>
      <w:color w:val="808080"/>
    </w:rPr>
  </w:style>
  <w:style w:type="character" w:styleId="Accentuaresubtil">
    <w:name w:val="Subtle Emphasis"/>
    <w:basedOn w:val="Fontdeparagrafimplicit"/>
    <w:uiPriority w:val="19"/>
    <w:qFormat/>
    <w:rsid w:val="00E63E32"/>
    <w:rPr>
      <w:i/>
      <w:iCs/>
    </w:rPr>
  </w:style>
  <w:style w:type="character" w:styleId="Accentuareintens">
    <w:name w:val="Intense Emphasis"/>
    <w:basedOn w:val="Fontdeparagrafimplicit"/>
    <w:uiPriority w:val="21"/>
    <w:qFormat/>
    <w:rPr>
      <w:b/>
      <w:bCs/>
      <w:i/>
      <w:iCs/>
      <w:color w:val="auto"/>
    </w:rPr>
  </w:style>
  <w:style w:type="character" w:customStyle="1" w:styleId="SubtleReference1">
    <w:name w:val="Subtle Reference1"/>
    <w:basedOn w:val="Fontdeparagrafimplicit"/>
    <w:uiPriority w:val="31"/>
    <w:qFormat/>
    <w:rPr>
      <w:smallCaps/>
      <w:color w:val="auto"/>
      <w:u w:val="single" w:color="7F7F7F"/>
    </w:rPr>
  </w:style>
  <w:style w:type="character" w:styleId="Referireintens">
    <w:name w:val="Intense Reference"/>
    <w:basedOn w:val="Fontdeparagrafimplicit"/>
    <w:uiPriority w:val="32"/>
    <w:qFormat/>
    <w:rPr>
      <w:b/>
      <w:bCs/>
      <w:smallCaps/>
      <w:color w:val="auto"/>
      <w:u w:val="single"/>
    </w:rPr>
  </w:style>
  <w:style w:type="character" w:styleId="Titlulcrii">
    <w:name w:val="Book Title"/>
    <w:basedOn w:val="Fontdeparagrafimplicit"/>
    <w:uiPriority w:val="33"/>
    <w:qFormat/>
    <w:rPr>
      <w:b/>
      <w:bCs/>
      <w:smallCaps/>
      <w:color w:val="auto"/>
    </w:rPr>
  </w:style>
  <w:style w:type="character" w:customStyle="1" w:styleId="fontstyle01">
    <w:name w:val="fontstyle01"/>
    <w:basedOn w:val="Fontdeparagrafimplicit"/>
    <w:rPr>
      <w:rFonts w:ascii="TimesNewRomanPSMT" w:hAnsi="TimesNewRomanPSMT"/>
      <w:b w:val="0"/>
      <w:bCs w:val="0"/>
      <w:i w:val="0"/>
      <w:iCs w:val="0"/>
      <w:color w:val="000000"/>
      <w:sz w:val="24"/>
      <w:szCs w:val="24"/>
    </w:rPr>
  </w:style>
  <w:style w:type="character" w:customStyle="1" w:styleId="hps">
    <w:name w:val="hps"/>
    <w:basedOn w:val="Fontdeparagrafimplicit"/>
    <w:uiPriority w:val="99"/>
  </w:style>
  <w:style w:type="character" w:customStyle="1" w:styleId="tlid-translation">
    <w:name w:val="tlid-translation"/>
    <w:basedOn w:val="Fontdeparagrafimplicit"/>
  </w:style>
  <w:style w:type="character" w:customStyle="1" w:styleId="tal1">
    <w:name w:val="tal1"/>
    <w:basedOn w:val="Fontdeparagrafimplicit"/>
  </w:style>
  <w:style w:type="character" w:customStyle="1" w:styleId="tli1">
    <w:name w:val="tli1"/>
    <w:basedOn w:val="Fontdeparagrafimplicit"/>
  </w:style>
  <w:style w:type="character" w:customStyle="1" w:styleId="Normal3">
    <w:name w:val="Normal3"/>
    <w:rPr>
      <w:rFonts w:ascii="Times New Roman" w:hAnsi="Times New Roman" w:cs="Times New Roman"/>
      <w:sz w:val="16"/>
      <w:szCs w:val="16"/>
    </w:rPr>
  </w:style>
  <w:style w:type="character" w:styleId="HyperlinkParcurs">
    <w:name w:val="FollowedHyperlink"/>
    <w:basedOn w:val="Fontdeparagrafimplicit"/>
    <w:uiPriority w:val="99"/>
    <w:semiHidden/>
    <w:unhideWhenUsed/>
    <w:rsid w:val="0049459F"/>
    <w:rPr>
      <w:color w:val="96607D" w:themeColor="followedHyperlink"/>
      <w:u w:val="single"/>
    </w:rPr>
  </w:style>
  <w:style w:type="character" w:styleId="Referiresubtil">
    <w:name w:val="Subtle Reference"/>
    <w:basedOn w:val="Fontdeparagrafimplicit"/>
    <w:uiPriority w:val="31"/>
    <w:qFormat/>
    <w:rsid w:val="0049459F"/>
    <w:rPr>
      <w:smallCaps/>
      <w:color w:val="5A5A5A" w:themeColor="text1" w:themeTint="A5"/>
    </w:rPr>
  </w:style>
  <w:style w:type="paragraph" w:customStyle="1" w:styleId="f1">
    <w:name w:val="f1"/>
    <w:basedOn w:val="Normal"/>
    <w:next w:val="Textnotdesubsol"/>
    <w:uiPriority w:val="99"/>
    <w:unhideWhenUsed/>
    <w:qFormat/>
    <w:rsid w:val="003677C6"/>
    <w:rPr>
      <w:rFonts w:eastAsiaTheme="minorHAnsi" w:cstheme="minorBidi"/>
      <w:kern w:val="2"/>
      <w:szCs w:val="22"/>
      <w:lang w:val="x-none" w:eastAsia="x-none"/>
      <w14:ligatures w14:val="standardContextual"/>
    </w:rPr>
  </w:style>
  <w:style w:type="character" w:customStyle="1" w:styleId="Heading3">
    <w:name w:val="Heading #3_"/>
    <w:basedOn w:val="Fontdeparagrafimplicit"/>
    <w:link w:val="Heading30"/>
    <w:rPr>
      <w:rFonts w:ascii="Calibri" w:eastAsia="Calibri" w:hAnsi="Calibri" w:cs="Calibri"/>
      <w:b/>
      <w:bCs/>
    </w:rPr>
  </w:style>
  <w:style w:type="paragraph" w:customStyle="1" w:styleId="Heading30">
    <w:name w:val="Heading #3"/>
    <w:basedOn w:val="Normal"/>
    <w:link w:val="Heading3"/>
    <w:rsid w:val="00DE5C3F"/>
    <w:pPr>
      <w:widowControl w:val="0"/>
      <w:spacing w:after="260"/>
      <w:jc w:val="left"/>
      <w:outlineLvl w:val="2"/>
    </w:pPr>
    <w:rPr>
      <w:rFonts w:ascii="Calibri" w:eastAsia="Calibri" w:hAnsi="Calibri" w:cs="Calibri"/>
      <w:b/>
      <w:bCs/>
      <w:sz w:val="22"/>
      <w:szCs w:val="22"/>
    </w:rPr>
  </w:style>
  <w:style w:type="character" w:customStyle="1" w:styleId="Other">
    <w:name w:val="Other_"/>
    <w:basedOn w:val="Fontdeparagrafimplicit"/>
    <w:link w:val="Other0"/>
    <w:rPr>
      <w:rFonts w:ascii="Calibri" w:eastAsia="Calibri" w:hAnsi="Calibri" w:cs="Calibri"/>
      <w:sz w:val="20"/>
    </w:rPr>
  </w:style>
  <w:style w:type="paragraph" w:customStyle="1" w:styleId="Other0">
    <w:name w:val="Other"/>
    <w:basedOn w:val="Normal"/>
    <w:link w:val="Other"/>
    <w:rsid w:val="00DE5C3F"/>
    <w:pPr>
      <w:widowControl w:val="0"/>
      <w:jc w:val="left"/>
    </w:pPr>
    <w:rPr>
      <w:rFonts w:ascii="Calibri" w:eastAsia="Calibri" w:hAnsi="Calibri" w:cs="Calibri"/>
      <w:szCs w:val="22"/>
    </w:rPr>
  </w:style>
  <w:style w:type="paragraph" w:customStyle="1" w:styleId="Steps">
    <w:name w:val="Steps"/>
    <w:basedOn w:val="Normal"/>
    <w:rsid w:val="00DE5C3F"/>
    <w:pPr>
      <w:ind w:left="360"/>
    </w:pPr>
  </w:style>
  <w:style w:type="character" w:customStyle="1" w:styleId="FrspaiereCaracter">
    <w:name w:val="Fără spațiere Caracter"/>
    <w:link w:val="Frspaiere"/>
    <w:rPr>
      <w:rFonts w:ascii="Calibri" w:eastAsia="Calibri" w:hAnsi="Calibri" w:cs="Times New Roman"/>
      <w:lang w:val="ro-RO"/>
    </w:rPr>
  </w:style>
  <w:style w:type="paragraph" w:customStyle="1" w:styleId="Focus">
    <w:name w:val="Focus"/>
    <w:basedOn w:val="Normal"/>
    <w:link w:val="FocusChar"/>
    <w:qFormat/>
    <w:rsid w:val="00C12C08"/>
    <w:pPr>
      <w:keepNext/>
    </w:pPr>
    <w:rPr>
      <w:rFonts w:eastAsia="SimSun" w:cs="Cambria"/>
      <w:b/>
      <w:bCs/>
      <w:caps/>
      <w:color w:val="232323"/>
      <w:szCs w:val="22"/>
      <w:lang w:eastAsia="ja-JP"/>
    </w:rPr>
  </w:style>
  <w:style w:type="character" w:customStyle="1" w:styleId="FocusChar">
    <w:name w:val="Focus Char"/>
    <w:basedOn w:val="Fontdeparagrafimplicit"/>
    <w:link w:val="Focus"/>
    <w:rPr>
      <w:rFonts w:eastAsia="SimSun" w:cs="Cambria"/>
      <w:b/>
      <w:bCs/>
      <w:caps/>
      <w:color w:val="232323"/>
      <w:sz w:val="20"/>
      <w:lang w:val="ro-RO" w:eastAsia="ja-JP"/>
    </w:rPr>
  </w:style>
  <w:style w:type="character" w:styleId="Numrdepagin">
    <w:name w:val="page number"/>
    <w:basedOn w:val="Fontdeparagrafimplicit"/>
  </w:style>
  <w:style w:type="paragraph" w:customStyle="1" w:styleId="font5">
    <w:name w:val="font5"/>
    <w:basedOn w:val="Normal"/>
    <w:rsid w:val="00307C17"/>
    <w:pPr>
      <w:jc w:val="left"/>
    </w:pPr>
    <w:rPr>
      <w:color w:val="232323"/>
    </w:rPr>
  </w:style>
  <w:style w:type="paragraph" w:customStyle="1" w:styleId="font6">
    <w:name w:val="font6"/>
    <w:basedOn w:val="Normal"/>
    <w:rsid w:val="00307C17"/>
    <w:pPr>
      <w:jc w:val="left"/>
    </w:pPr>
    <w:rPr>
      <w:i/>
      <w:iCs/>
      <w:color w:val="232323"/>
    </w:rPr>
  </w:style>
  <w:style w:type="paragraph" w:customStyle="1" w:styleId="xl63">
    <w:name w:val="xl63"/>
    <w:basedOn w:val="Normal"/>
    <w:rsid w:val="00307C17"/>
    <w:pPr>
      <w:jc w:val="left"/>
    </w:pPr>
    <w:rPr>
      <w:rFonts w:ascii="Times New Roman" w:hAnsi="Times New Roman" w:cs="Times New Roman"/>
    </w:rPr>
  </w:style>
  <w:style w:type="paragraph" w:customStyle="1" w:styleId="xl64">
    <w:name w:val="xl64"/>
    <w:basedOn w:val="Normal"/>
    <w:rsid w:val="00307C17"/>
    <w:pPr>
      <w:pBdr>
        <w:top w:val="single" w:sz="4" w:space="0" w:color="14C978"/>
        <w:left w:val="single" w:sz="4" w:space="0" w:color="14C978"/>
        <w:bottom w:val="single" w:sz="4" w:space="0" w:color="14C978"/>
        <w:right w:val="single" w:sz="4" w:space="0" w:color="14C978"/>
      </w:pBdr>
      <w:jc w:val="left"/>
    </w:pPr>
    <w:rPr>
      <w:rFonts w:ascii="Times New Roman" w:hAnsi="Times New Roman" w:cs="Times New Roman"/>
    </w:rPr>
  </w:style>
  <w:style w:type="paragraph" w:customStyle="1" w:styleId="xl65">
    <w:name w:val="xl65"/>
    <w:basedOn w:val="Normal"/>
    <w:rsid w:val="00307C17"/>
    <w:pPr>
      <w:pBdr>
        <w:top w:val="single" w:sz="4" w:space="0" w:color="14C978"/>
        <w:left w:val="single" w:sz="4" w:space="0" w:color="14C978"/>
        <w:bottom w:val="single" w:sz="4" w:space="0" w:color="14C978"/>
        <w:right w:val="single" w:sz="4" w:space="0" w:color="14C978"/>
      </w:pBdr>
      <w:shd w:val="clear" w:color="000000" w:fill="D6ED01"/>
      <w:jc w:val="left"/>
    </w:pPr>
    <w:rPr>
      <w:rFonts w:ascii="Times New Roman" w:hAnsi="Times New Roman" w:cs="Times New Roman"/>
      <w:b/>
      <w:bCs/>
    </w:rPr>
  </w:style>
  <w:style w:type="paragraph" w:customStyle="1" w:styleId="xl66">
    <w:name w:val="xl66"/>
    <w:basedOn w:val="Normal"/>
    <w:rsid w:val="00307C17"/>
    <w:pPr>
      <w:pBdr>
        <w:top w:val="single" w:sz="4" w:space="0" w:color="14C978"/>
        <w:left w:val="single" w:sz="4" w:space="0" w:color="14C978"/>
        <w:bottom w:val="single" w:sz="4" w:space="0" w:color="14C978"/>
        <w:right w:val="single" w:sz="4" w:space="0" w:color="14C978"/>
      </w:pBdr>
      <w:shd w:val="thinDiagStripe" w:color="auto" w:fill="D6ED01"/>
      <w:jc w:val="left"/>
    </w:pPr>
    <w:rPr>
      <w:rFonts w:ascii="Times New Roman" w:hAnsi="Times New Roman" w:cs="Times New Roman"/>
      <w:b/>
      <w:bCs/>
    </w:rPr>
  </w:style>
  <w:style w:type="paragraph" w:customStyle="1" w:styleId="xl67">
    <w:name w:val="xl67"/>
    <w:basedOn w:val="Normal"/>
    <w:rsid w:val="00307C17"/>
    <w:pPr>
      <w:pBdr>
        <w:top w:val="single" w:sz="4" w:space="0" w:color="14C978"/>
        <w:left w:val="single" w:sz="4" w:space="0" w:color="14C978"/>
        <w:bottom w:val="single" w:sz="4" w:space="0" w:color="14C978"/>
        <w:right w:val="single" w:sz="4" w:space="0" w:color="14C978"/>
      </w:pBdr>
      <w:shd w:val="clear" w:color="000000" w:fill="FEFEFE"/>
      <w:jc w:val="left"/>
      <w:textAlignment w:val="center"/>
    </w:pPr>
    <w:rPr>
      <w:rFonts w:ascii="Times New Roman" w:hAnsi="Times New Roman" w:cs="Times New Roman"/>
    </w:rPr>
  </w:style>
  <w:style w:type="paragraph" w:customStyle="1" w:styleId="xl68">
    <w:name w:val="xl68"/>
    <w:basedOn w:val="Normal"/>
    <w:rsid w:val="00307C17"/>
    <w:pPr>
      <w:pBdr>
        <w:top w:val="single" w:sz="4" w:space="0" w:color="14C978"/>
        <w:left w:val="single" w:sz="4" w:space="0" w:color="14C978"/>
        <w:bottom w:val="single" w:sz="4" w:space="0" w:color="14C978"/>
        <w:right w:val="single" w:sz="4" w:space="0" w:color="14C978"/>
      </w:pBdr>
      <w:shd w:val="clear" w:color="000000" w:fill="FEFEFE"/>
      <w:jc w:val="left"/>
    </w:pPr>
    <w:rPr>
      <w:rFonts w:ascii="Times New Roman" w:hAnsi="Times New Roman" w:cs="Times New Roman"/>
    </w:rPr>
  </w:style>
  <w:style w:type="paragraph" w:customStyle="1" w:styleId="xl69">
    <w:name w:val="xl69"/>
    <w:basedOn w:val="Normal"/>
    <w:rsid w:val="00307C17"/>
    <w:pPr>
      <w:pBdr>
        <w:top w:val="single" w:sz="4" w:space="0" w:color="14C978"/>
        <w:left w:val="single" w:sz="4" w:space="0" w:color="14C978"/>
        <w:bottom w:val="single" w:sz="4" w:space="0" w:color="14C978"/>
        <w:right w:val="single" w:sz="4" w:space="0" w:color="14C978"/>
      </w:pBdr>
      <w:shd w:val="clear" w:color="000000" w:fill="FEFEFE"/>
      <w:jc w:val="right"/>
    </w:pPr>
    <w:rPr>
      <w:rFonts w:ascii="Times New Roman" w:hAnsi="Times New Roman" w:cs="Times New Roman"/>
      <w:i/>
      <w:iCs/>
    </w:rPr>
  </w:style>
  <w:style w:type="paragraph" w:customStyle="1" w:styleId="xl70">
    <w:name w:val="xl70"/>
    <w:basedOn w:val="Normal"/>
    <w:rsid w:val="00307C17"/>
    <w:pPr>
      <w:pBdr>
        <w:top w:val="single" w:sz="4" w:space="0" w:color="14C978"/>
        <w:left w:val="single" w:sz="4" w:space="0" w:color="14C978"/>
        <w:bottom w:val="single" w:sz="4" w:space="0" w:color="14C978"/>
        <w:right w:val="single" w:sz="4" w:space="0" w:color="14C978"/>
      </w:pBdr>
      <w:shd w:val="clear" w:color="000000" w:fill="FEFEFE"/>
      <w:jc w:val="right"/>
      <w:textAlignment w:val="center"/>
    </w:pPr>
    <w:rPr>
      <w:rFonts w:ascii="Times New Roman" w:hAnsi="Times New Roman" w:cs="Times New Roman"/>
      <w:i/>
      <w:iCs/>
    </w:rPr>
  </w:style>
  <w:style w:type="paragraph" w:customStyle="1" w:styleId="xl71">
    <w:name w:val="xl71"/>
    <w:basedOn w:val="Normal"/>
    <w:rsid w:val="00307C17"/>
    <w:pPr>
      <w:pBdr>
        <w:top w:val="single" w:sz="4" w:space="0" w:color="14C978"/>
        <w:left w:val="single" w:sz="4" w:space="0" w:color="14C978"/>
        <w:bottom w:val="single" w:sz="4" w:space="0" w:color="14C978"/>
        <w:right w:val="single" w:sz="4" w:space="0" w:color="14C978"/>
      </w:pBdr>
      <w:shd w:val="clear" w:color="000000" w:fill="3CEB9D"/>
      <w:jc w:val="left"/>
    </w:pPr>
    <w:rPr>
      <w:rFonts w:ascii="Times New Roman" w:hAnsi="Times New Roman" w:cs="Times New Roman"/>
    </w:rPr>
  </w:style>
  <w:style w:type="paragraph" w:customStyle="1" w:styleId="xl72">
    <w:name w:val="xl72"/>
    <w:basedOn w:val="Normal"/>
    <w:rsid w:val="00307C17"/>
    <w:pPr>
      <w:pBdr>
        <w:top w:val="single" w:sz="4" w:space="0" w:color="14C978"/>
        <w:left w:val="single" w:sz="4" w:space="0" w:color="14C978"/>
        <w:bottom w:val="single" w:sz="4" w:space="0" w:color="14C978"/>
        <w:right w:val="single" w:sz="4" w:space="0" w:color="14C978"/>
      </w:pBdr>
      <w:jc w:val="right"/>
    </w:pPr>
    <w:rPr>
      <w:rFonts w:ascii="Times New Roman" w:hAnsi="Times New Roman" w:cs="Times New Roman"/>
      <w:color w:val="14C978"/>
    </w:rPr>
  </w:style>
  <w:style w:type="paragraph" w:customStyle="1" w:styleId="xl73">
    <w:name w:val="xl73"/>
    <w:basedOn w:val="Normal"/>
    <w:rsid w:val="00307C17"/>
    <w:pPr>
      <w:pBdr>
        <w:top w:val="single" w:sz="4" w:space="0" w:color="14C978"/>
        <w:left w:val="single" w:sz="4" w:space="0" w:color="14C978"/>
        <w:bottom w:val="single" w:sz="4" w:space="0" w:color="14C978"/>
        <w:right w:val="single" w:sz="4" w:space="0" w:color="14C978"/>
      </w:pBdr>
      <w:shd w:val="clear" w:color="000000" w:fill="FEFEFE"/>
      <w:jc w:val="center"/>
      <w:textAlignment w:val="center"/>
    </w:pPr>
    <w:rPr>
      <w:rFonts w:ascii="Times New Roman" w:hAnsi="Times New Roman" w:cs="Times New Roman"/>
    </w:rPr>
  </w:style>
  <w:style w:type="paragraph" w:customStyle="1" w:styleId="xl74">
    <w:name w:val="xl74"/>
    <w:basedOn w:val="Normal"/>
    <w:rsid w:val="00307C17"/>
    <w:pPr>
      <w:pBdr>
        <w:top w:val="single" w:sz="4" w:space="0" w:color="14C978"/>
        <w:left w:val="single" w:sz="4" w:space="0" w:color="14C978"/>
        <w:bottom w:val="single" w:sz="4" w:space="0" w:color="14C978"/>
        <w:right w:val="single" w:sz="4" w:space="0" w:color="14C978"/>
      </w:pBdr>
      <w:jc w:val="center"/>
      <w:textAlignment w:val="center"/>
    </w:pPr>
    <w:rPr>
      <w:rFonts w:ascii="Times New Roman" w:hAnsi="Times New Roman" w:cs="Times New Roman"/>
    </w:rPr>
  </w:style>
  <w:style w:type="paragraph" w:customStyle="1" w:styleId="xl75">
    <w:name w:val="xl75"/>
    <w:basedOn w:val="Normal"/>
    <w:rsid w:val="00307C17"/>
    <w:pPr>
      <w:pBdr>
        <w:top w:val="single" w:sz="4" w:space="0" w:color="14C978"/>
        <w:left w:val="single" w:sz="4" w:space="0" w:color="14C978"/>
        <w:bottom w:val="single" w:sz="4" w:space="0" w:color="14C978"/>
        <w:right w:val="single" w:sz="4" w:space="0" w:color="14C978"/>
      </w:pBdr>
      <w:shd w:val="clear" w:color="000000" w:fill="D6ED01"/>
      <w:jc w:val="center"/>
      <w:textAlignment w:val="center"/>
    </w:pPr>
    <w:rPr>
      <w:rFonts w:ascii="Times New Roman" w:hAnsi="Times New Roman" w:cs="Times New Roman"/>
      <w:b/>
      <w:bCs/>
    </w:rPr>
  </w:style>
  <w:style w:type="paragraph" w:customStyle="1" w:styleId="xl76">
    <w:name w:val="xl76"/>
    <w:basedOn w:val="Normal"/>
    <w:rsid w:val="00307C17"/>
    <w:pPr>
      <w:jc w:val="left"/>
    </w:pPr>
    <w:rPr>
      <w:rFonts w:ascii="Times New Roman" w:hAnsi="Times New Roman" w:cs="Times New Roman"/>
      <w:b/>
      <w:bCs/>
    </w:rPr>
  </w:style>
  <w:style w:type="paragraph" w:customStyle="1" w:styleId="xl77">
    <w:name w:val="xl77"/>
    <w:basedOn w:val="Normal"/>
    <w:rsid w:val="00307C17"/>
    <w:pPr>
      <w:shd w:val="clear" w:color="000000" w:fill="FEFEFE"/>
      <w:jc w:val="left"/>
    </w:pPr>
    <w:rPr>
      <w:rFonts w:ascii="Times New Roman" w:hAnsi="Times New Roman" w:cs="Times New Roman"/>
    </w:rPr>
  </w:style>
  <w:style w:type="paragraph" w:customStyle="1" w:styleId="xl78">
    <w:name w:val="xl78"/>
    <w:basedOn w:val="Normal"/>
    <w:rsid w:val="00307C17"/>
    <w:pPr>
      <w:jc w:val="center"/>
    </w:pPr>
    <w:rPr>
      <w:rFonts w:ascii="Times New Roman" w:hAnsi="Times New Roman" w:cs="Times New Roman"/>
      <w:color w:val="14C978"/>
    </w:rPr>
  </w:style>
  <w:style w:type="paragraph" w:customStyle="1" w:styleId="xl79">
    <w:name w:val="xl79"/>
    <w:basedOn w:val="Normal"/>
    <w:rsid w:val="00307C17"/>
    <w:pPr>
      <w:shd w:val="thinDiagStripe" w:color="E6E6E6" w:fill="111111"/>
      <w:jc w:val="left"/>
    </w:pPr>
    <w:rPr>
      <w:rFonts w:ascii="Times New Roman" w:hAnsi="Times New Roman" w:cs="Times New Roman"/>
      <w:b/>
      <w:bCs/>
      <w:color w:val="FEFEFE"/>
    </w:rPr>
  </w:style>
  <w:style w:type="paragraph" w:customStyle="1" w:styleId="xl80">
    <w:name w:val="xl80"/>
    <w:basedOn w:val="Normal"/>
    <w:rsid w:val="00307C17"/>
    <w:pPr>
      <w:shd w:val="thinDiagStripe" w:color="auto" w:fill="D6ED01"/>
      <w:jc w:val="left"/>
    </w:pPr>
    <w:rPr>
      <w:rFonts w:ascii="Times New Roman" w:hAnsi="Times New Roman" w:cs="Times New Roman"/>
      <w:b/>
      <w:bCs/>
    </w:rPr>
  </w:style>
  <w:style w:type="paragraph" w:customStyle="1" w:styleId="xl81">
    <w:name w:val="xl81"/>
    <w:basedOn w:val="Normal"/>
    <w:rsid w:val="00307C17"/>
    <w:pPr>
      <w:jc w:val="left"/>
    </w:pPr>
    <w:rPr>
      <w:rFonts w:ascii="Times New Roman" w:hAnsi="Times New Roman" w:cs="Times New Roman"/>
      <w:b/>
      <w:bCs/>
    </w:rPr>
  </w:style>
  <w:style w:type="paragraph" w:customStyle="1" w:styleId="xl82">
    <w:name w:val="xl82"/>
    <w:basedOn w:val="Normal"/>
    <w:rsid w:val="00307C17"/>
    <w:pPr>
      <w:pBdr>
        <w:top w:val="single" w:sz="4" w:space="0" w:color="14C978"/>
        <w:left w:val="single" w:sz="4" w:space="0" w:color="14C978"/>
        <w:bottom w:val="single" w:sz="4" w:space="0" w:color="14C978"/>
        <w:right w:val="single" w:sz="4" w:space="0" w:color="14C978"/>
      </w:pBdr>
      <w:shd w:val="clear" w:color="000000" w:fill="E6E6E6"/>
      <w:jc w:val="center"/>
    </w:pPr>
    <w:rPr>
      <w:rFonts w:ascii="Times New Roman" w:hAnsi="Times New Roman" w:cs="Times New Roman"/>
      <w:i/>
      <w:iCs/>
      <w:sz w:val="14"/>
      <w:szCs w:val="14"/>
    </w:rPr>
  </w:style>
  <w:style w:type="paragraph" w:customStyle="1" w:styleId="xl83">
    <w:name w:val="xl83"/>
    <w:basedOn w:val="Normal"/>
    <w:rsid w:val="00307C17"/>
    <w:pPr>
      <w:pBdr>
        <w:top w:val="single" w:sz="4" w:space="0" w:color="14C978"/>
        <w:left w:val="single" w:sz="4" w:space="0" w:color="14C978"/>
        <w:bottom w:val="single" w:sz="4" w:space="0" w:color="14C978"/>
        <w:right w:val="single" w:sz="4" w:space="0" w:color="14C978"/>
      </w:pBdr>
      <w:shd w:val="thinDiagStripe" w:color="E6E6E6" w:fill="595959"/>
      <w:jc w:val="left"/>
    </w:pPr>
    <w:rPr>
      <w:rFonts w:ascii="Times New Roman" w:hAnsi="Times New Roman" w:cs="Times New Roman"/>
      <w:b/>
      <w:bCs/>
      <w:color w:val="FEFEFE"/>
    </w:rPr>
  </w:style>
  <w:style w:type="paragraph" w:customStyle="1" w:styleId="xl84">
    <w:name w:val="xl84"/>
    <w:basedOn w:val="Normal"/>
    <w:rsid w:val="00307C17"/>
    <w:pPr>
      <w:pBdr>
        <w:top w:val="single" w:sz="4" w:space="0" w:color="14C978"/>
        <w:left w:val="single" w:sz="4" w:space="0" w:color="14C978"/>
        <w:bottom w:val="single" w:sz="4" w:space="0" w:color="14C978"/>
        <w:right w:val="single" w:sz="4" w:space="0" w:color="14C978"/>
      </w:pBdr>
      <w:shd w:val="clear" w:color="000000" w:fill="595959"/>
      <w:jc w:val="left"/>
    </w:pPr>
    <w:rPr>
      <w:rFonts w:ascii="Times New Roman" w:hAnsi="Times New Roman" w:cs="Times New Roman"/>
      <w:b/>
      <w:bCs/>
      <w:color w:val="FEFEFE"/>
    </w:rPr>
  </w:style>
  <w:style w:type="paragraph" w:customStyle="1" w:styleId="xl85">
    <w:name w:val="xl85"/>
    <w:basedOn w:val="Normal"/>
    <w:rsid w:val="00307C17"/>
    <w:pPr>
      <w:jc w:val="center"/>
    </w:pPr>
    <w:rPr>
      <w:rFonts w:ascii="Times New Roman" w:hAnsi="Times New Roman" w:cs="Times New Roman"/>
    </w:rPr>
  </w:style>
  <w:style w:type="paragraph" w:customStyle="1" w:styleId="xl86">
    <w:name w:val="xl86"/>
    <w:basedOn w:val="Normal"/>
    <w:rsid w:val="00307C17"/>
    <w:pPr>
      <w:jc w:val="center"/>
    </w:pPr>
    <w:rPr>
      <w:rFonts w:ascii="Times New Roman" w:hAnsi="Times New Roman" w:cs="Times New Roman"/>
      <w:b/>
      <w:bCs/>
    </w:rPr>
  </w:style>
  <w:style w:type="paragraph" w:customStyle="1" w:styleId="xl87">
    <w:name w:val="xl87"/>
    <w:basedOn w:val="Normal"/>
    <w:rsid w:val="00307C17"/>
    <w:pPr>
      <w:pBdr>
        <w:top w:val="single" w:sz="4" w:space="0" w:color="14C978"/>
        <w:left w:val="single" w:sz="4" w:space="0" w:color="14C978"/>
        <w:bottom w:val="single" w:sz="4" w:space="0" w:color="14C978"/>
        <w:right w:val="single" w:sz="4" w:space="0" w:color="14C978"/>
      </w:pBdr>
      <w:shd w:val="clear" w:color="000000" w:fill="595959"/>
      <w:jc w:val="center"/>
    </w:pPr>
    <w:rPr>
      <w:rFonts w:ascii="Times New Roman" w:hAnsi="Times New Roman" w:cs="Times New Roman"/>
      <w:b/>
      <w:bCs/>
      <w:color w:val="FEFEFE"/>
    </w:rPr>
  </w:style>
  <w:style w:type="paragraph" w:customStyle="1" w:styleId="xl88">
    <w:name w:val="xl88"/>
    <w:basedOn w:val="Normal"/>
    <w:rsid w:val="00307C17"/>
    <w:pPr>
      <w:pBdr>
        <w:top w:val="single" w:sz="4" w:space="0" w:color="14C978"/>
        <w:left w:val="single" w:sz="4" w:space="0" w:color="14C978"/>
        <w:bottom w:val="single" w:sz="4" w:space="0" w:color="14C978"/>
        <w:right w:val="single" w:sz="4" w:space="0" w:color="14C978"/>
      </w:pBdr>
      <w:jc w:val="right"/>
      <w:textAlignment w:val="center"/>
    </w:pPr>
    <w:rPr>
      <w:rFonts w:ascii="Times New Roman" w:hAnsi="Times New Roman" w:cs="Times New Roman"/>
      <w:color w:val="14C978"/>
    </w:rPr>
  </w:style>
  <w:style w:type="paragraph" w:customStyle="1" w:styleId="xl89">
    <w:name w:val="xl89"/>
    <w:basedOn w:val="Normal"/>
    <w:rsid w:val="00307C17"/>
    <w:pPr>
      <w:jc w:val="left"/>
    </w:pPr>
    <w:rPr>
      <w:rFonts w:ascii="Times New Roman" w:hAnsi="Times New Roman" w:cs="Times New Roman"/>
      <w:b/>
      <w:bCs/>
      <w:i/>
      <w:iCs/>
    </w:rPr>
  </w:style>
  <w:style w:type="paragraph" w:customStyle="1" w:styleId="xl90">
    <w:name w:val="xl90"/>
    <w:basedOn w:val="Normal"/>
    <w:rsid w:val="00307C17"/>
    <w:pPr>
      <w:pBdr>
        <w:top w:val="single" w:sz="4" w:space="0" w:color="14C978"/>
        <w:left w:val="single" w:sz="4" w:space="0" w:color="14C978"/>
        <w:bottom w:val="single" w:sz="4" w:space="0" w:color="14C978"/>
        <w:right w:val="single" w:sz="4" w:space="0" w:color="14C978"/>
      </w:pBdr>
      <w:shd w:val="clear" w:color="000000" w:fill="D6ED01"/>
      <w:jc w:val="center"/>
      <w:textAlignment w:val="center"/>
    </w:pPr>
    <w:rPr>
      <w:rFonts w:ascii="Times New Roman" w:hAnsi="Times New Roman" w:cs="Times New Roman"/>
    </w:rPr>
  </w:style>
  <w:style w:type="paragraph" w:customStyle="1" w:styleId="xl91">
    <w:name w:val="xl91"/>
    <w:basedOn w:val="Normal"/>
    <w:rsid w:val="00307C17"/>
    <w:pPr>
      <w:pBdr>
        <w:top w:val="single" w:sz="4" w:space="0" w:color="14C978"/>
        <w:left w:val="single" w:sz="4" w:space="0" w:color="14C978"/>
        <w:bottom w:val="single" w:sz="4" w:space="0" w:color="14C978"/>
        <w:right w:val="single" w:sz="4" w:space="0" w:color="14C978"/>
      </w:pBdr>
      <w:shd w:val="clear" w:color="000000" w:fill="D6ED01"/>
      <w:jc w:val="center"/>
      <w:textAlignment w:val="top"/>
    </w:pPr>
    <w:rPr>
      <w:rFonts w:ascii="Times New Roman" w:hAnsi="Times New Roman" w:cs="Times New Roman"/>
    </w:rPr>
  </w:style>
  <w:style w:type="paragraph" w:customStyle="1" w:styleId="xl92">
    <w:name w:val="xl92"/>
    <w:basedOn w:val="Normal"/>
    <w:rsid w:val="00307C17"/>
    <w:pPr>
      <w:pBdr>
        <w:top w:val="single" w:sz="4" w:space="0" w:color="14C978"/>
        <w:left w:val="single" w:sz="4" w:space="0" w:color="14C978"/>
        <w:bottom w:val="single" w:sz="4" w:space="0" w:color="14C978"/>
        <w:right w:val="single" w:sz="4" w:space="0" w:color="14C978"/>
      </w:pBdr>
      <w:shd w:val="clear" w:color="000000" w:fill="E6E6E6"/>
      <w:jc w:val="left"/>
    </w:pPr>
    <w:rPr>
      <w:rFonts w:ascii="Times New Roman" w:hAnsi="Times New Roman" w:cs="Times New Roman"/>
      <w:b/>
      <w:bCs/>
    </w:rPr>
  </w:style>
  <w:style w:type="paragraph" w:customStyle="1" w:styleId="xl93">
    <w:name w:val="xl93"/>
    <w:basedOn w:val="Normal"/>
    <w:rsid w:val="00307C17"/>
    <w:pPr>
      <w:pBdr>
        <w:top w:val="single" w:sz="4" w:space="0" w:color="14C978"/>
        <w:left w:val="single" w:sz="4" w:space="0" w:color="14C978"/>
        <w:bottom w:val="single" w:sz="4" w:space="0" w:color="14C978"/>
        <w:right w:val="single" w:sz="4" w:space="0" w:color="14C978"/>
      </w:pBdr>
      <w:shd w:val="clear" w:color="000000" w:fill="E6E6E6"/>
      <w:jc w:val="center"/>
      <w:textAlignment w:val="center"/>
    </w:pPr>
    <w:rPr>
      <w:rFonts w:ascii="Times New Roman" w:hAnsi="Times New Roman" w:cs="Times New Roman"/>
    </w:rPr>
  </w:style>
  <w:style w:type="paragraph" w:customStyle="1" w:styleId="xl94">
    <w:name w:val="xl94"/>
    <w:basedOn w:val="Normal"/>
    <w:rsid w:val="00307C17"/>
    <w:pPr>
      <w:pBdr>
        <w:top w:val="single" w:sz="4" w:space="0" w:color="14C978"/>
        <w:left w:val="single" w:sz="4" w:space="0" w:color="14C978"/>
        <w:bottom w:val="single" w:sz="4" w:space="0" w:color="14C978"/>
        <w:right w:val="single" w:sz="4" w:space="0" w:color="14C978"/>
      </w:pBdr>
      <w:shd w:val="clear" w:color="000000" w:fill="E6E6E6"/>
      <w:jc w:val="left"/>
    </w:pPr>
    <w:rPr>
      <w:rFonts w:ascii="Times New Roman" w:hAnsi="Times New Roman" w:cs="Times New Roman"/>
    </w:rPr>
  </w:style>
  <w:style w:type="paragraph" w:customStyle="1" w:styleId="xl95">
    <w:name w:val="xl95"/>
    <w:basedOn w:val="Normal"/>
    <w:rsid w:val="00307C17"/>
    <w:pPr>
      <w:pBdr>
        <w:top w:val="single" w:sz="4" w:space="0" w:color="14C978"/>
        <w:left w:val="single" w:sz="4" w:space="0" w:color="14C978"/>
        <w:bottom w:val="single" w:sz="4" w:space="0" w:color="14C978"/>
        <w:right w:val="single" w:sz="4" w:space="0" w:color="14C978"/>
      </w:pBdr>
      <w:shd w:val="thinDiagStripe" w:color="ACACAC" w:fill="E6E6E6"/>
      <w:jc w:val="left"/>
    </w:pPr>
    <w:rPr>
      <w:rFonts w:ascii="Times New Roman" w:hAnsi="Times New Roman" w:cs="Times New Roman"/>
    </w:rPr>
  </w:style>
  <w:style w:type="paragraph" w:customStyle="1" w:styleId="xl96">
    <w:name w:val="xl96"/>
    <w:basedOn w:val="Normal"/>
    <w:rsid w:val="00307C17"/>
    <w:pPr>
      <w:pBdr>
        <w:top w:val="single" w:sz="4" w:space="0" w:color="14C978"/>
        <w:left w:val="single" w:sz="4" w:space="0" w:color="14C978"/>
        <w:bottom w:val="single" w:sz="4" w:space="0" w:color="14C978"/>
        <w:right w:val="single" w:sz="4" w:space="0" w:color="14C978"/>
      </w:pBdr>
      <w:textAlignment w:val="center"/>
    </w:pPr>
    <w:rPr>
      <w:rFonts w:ascii="Times New Roman" w:hAnsi="Times New Roman" w:cs="Times New Roman"/>
    </w:rPr>
  </w:style>
  <w:style w:type="paragraph" w:customStyle="1" w:styleId="xl97">
    <w:name w:val="xl97"/>
    <w:basedOn w:val="Normal"/>
    <w:rsid w:val="00307C17"/>
    <w:pPr>
      <w:pBdr>
        <w:top w:val="single" w:sz="4" w:space="0" w:color="14C978"/>
        <w:left w:val="single" w:sz="4" w:space="0" w:color="14C978"/>
        <w:bottom w:val="single" w:sz="4" w:space="0" w:color="14C978"/>
        <w:right w:val="single" w:sz="4" w:space="0" w:color="14C978"/>
      </w:pBdr>
      <w:jc w:val="center"/>
      <w:textAlignment w:val="top"/>
    </w:pPr>
    <w:rPr>
      <w:rFonts w:ascii="Times New Roman" w:hAnsi="Times New Roman" w:cs="Times New Roman"/>
    </w:rPr>
  </w:style>
  <w:style w:type="paragraph" w:customStyle="1" w:styleId="xl98">
    <w:name w:val="xl98"/>
    <w:basedOn w:val="Normal"/>
    <w:rsid w:val="00307C17"/>
    <w:pPr>
      <w:shd w:val="thinDiagStripe" w:color="ACACAC" w:fill="E6E6E6"/>
      <w:jc w:val="left"/>
    </w:pPr>
    <w:rPr>
      <w:rFonts w:ascii="Times New Roman" w:hAnsi="Times New Roman" w:cs="Times New Roman"/>
    </w:rPr>
  </w:style>
  <w:style w:type="paragraph" w:customStyle="1" w:styleId="xl99">
    <w:name w:val="xl99"/>
    <w:basedOn w:val="Normal"/>
    <w:rsid w:val="00307C17"/>
    <w:pPr>
      <w:pBdr>
        <w:top w:val="single" w:sz="4" w:space="0" w:color="14C978"/>
        <w:left w:val="single" w:sz="4" w:space="0" w:color="14C978"/>
        <w:bottom w:val="single" w:sz="4" w:space="0" w:color="14C978"/>
        <w:right w:val="single" w:sz="4" w:space="0" w:color="14C978"/>
      </w:pBdr>
      <w:shd w:val="clear" w:color="000000" w:fill="E6E6E6"/>
      <w:jc w:val="left"/>
    </w:pPr>
    <w:rPr>
      <w:rFonts w:ascii="Times New Roman" w:hAnsi="Times New Roman" w:cs="Times New Roman"/>
    </w:rPr>
  </w:style>
  <w:style w:type="paragraph" w:customStyle="1" w:styleId="xl100">
    <w:name w:val="xl100"/>
    <w:basedOn w:val="Normal"/>
    <w:rsid w:val="00307C17"/>
    <w:pPr>
      <w:pBdr>
        <w:top w:val="single" w:sz="4" w:space="0" w:color="14C978"/>
        <w:left w:val="single" w:sz="4" w:space="0" w:color="14C978"/>
        <w:bottom w:val="single" w:sz="4" w:space="0" w:color="14C978"/>
        <w:right w:val="single" w:sz="4" w:space="0" w:color="14C978"/>
      </w:pBdr>
      <w:jc w:val="center"/>
    </w:pPr>
    <w:rPr>
      <w:rFonts w:ascii="Times New Roman" w:hAnsi="Times New Roman" w:cs="Times New Roman"/>
      <w:b/>
      <w:bCs/>
      <w:color w:val="FEFEFE"/>
    </w:rPr>
  </w:style>
  <w:style w:type="paragraph" w:customStyle="1" w:styleId="xl101">
    <w:name w:val="xl101"/>
    <w:basedOn w:val="Normal"/>
    <w:rsid w:val="00307C17"/>
    <w:pPr>
      <w:pBdr>
        <w:top w:val="single" w:sz="4" w:space="0" w:color="14C978"/>
        <w:left w:val="single" w:sz="4" w:space="0" w:color="14C978"/>
        <w:bottom w:val="single" w:sz="4" w:space="0" w:color="14C978"/>
        <w:right w:val="single" w:sz="4" w:space="0" w:color="14C978"/>
      </w:pBdr>
      <w:jc w:val="left"/>
    </w:pPr>
    <w:rPr>
      <w:rFonts w:ascii="Times New Roman" w:hAnsi="Times New Roman" w:cs="Times New Roman"/>
      <w:b/>
      <w:bCs/>
      <w:color w:val="FEFEFE"/>
    </w:rPr>
  </w:style>
  <w:style w:type="paragraph" w:customStyle="1" w:styleId="xl102">
    <w:name w:val="xl102"/>
    <w:basedOn w:val="Normal"/>
    <w:rsid w:val="00307C17"/>
    <w:pPr>
      <w:pBdr>
        <w:top w:val="single" w:sz="4" w:space="0" w:color="14C978"/>
        <w:left w:val="single" w:sz="4" w:space="0" w:color="14C978"/>
        <w:bottom w:val="single" w:sz="4" w:space="0" w:color="14C978"/>
        <w:right w:val="single" w:sz="4" w:space="0" w:color="14C978"/>
      </w:pBdr>
      <w:shd w:val="clear" w:color="000000" w:fill="919191"/>
      <w:jc w:val="left"/>
    </w:pPr>
    <w:rPr>
      <w:rFonts w:ascii="Times New Roman" w:hAnsi="Times New Roman" w:cs="Times New Roman"/>
      <w:b/>
      <w:bCs/>
      <w:color w:val="FEFEFE"/>
    </w:rPr>
  </w:style>
  <w:style w:type="paragraph" w:customStyle="1" w:styleId="xl103">
    <w:name w:val="xl103"/>
    <w:basedOn w:val="Normal"/>
    <w:rsid w:val="00307C17"/>
    <w:pPr>
      <w:pBdr>
        <w:top w:val="single" w:sz="4" w:space="0" w:color="14C978"/>
        <w:left w:val="single" w:sz="4" w:space="0" w:color="14C978"/>
        <w:right w:val="single" w:sz="4" w:space="0" w:color="14C978"/>
      </w:pBdr>
      <w:jc w:val="center"/>
      <w:textAlignment w:val="center"/>
    </w:pPr>
    <w:rPr>
      <w:rFonts w:ascii="Times New Roman" w:hAnsi="Times New Roman" w:cs="Times New Roman"/>
    </w:rPr>
  </w:style>
  <w:style w:type="paragraph" w:customStyle="1" w:styleId="xl104">
    <w:name w:val="xl104"/>
    <w:basedOn w:val="Normal"/>
    <w:rsid w:val="00307C17"/>
    <w:pPr>
      <w:pBdr>
        <w:left w:val="single" w:sz="4" w:space="0" w:color="14C978"/>
        <w:right w:val="single" w:sz="4" w:space="0" w:color="14C978"/>
      </w:pBdr>
      <w:jc w:val="center"/>
      <w:textAlignment w:val="center"/>
    </w:pPr>
    <w:rPr>
      <w:rFonts w:ascii="Times New Roman" w:hAnsi="Times New Roman" w:cs="Times New Roman"/>
    </w:rPr>
  </w:style>
  <w:style w:type="paragraph" w:customStyle="1" w:styleId="xl105">
    <w:name w:val="xl105"/>
    <w:basedOn w:val="Normal"/>
    <w:rsid w:val="00307C17"/>
    <w:pPr>
      <w:pBdr>
        <w:left w:val="single" w:sz="4" w:space="0" w:color="14C978"/>
        <w:bottom w:val="single" w:sz="4" w:space="0" w:color="14C978"/>
        <w:right w:val="single" w:sz="4" w:space="0" w:color="14C978"/>
      </w:pBdr>
      <w:jc w:val="center"/>
      <w:textAlignment w:val="center"/>
    </w:pPr>
    <w:rPr>
      <w:rFonts w:ascii="Times New Roman" w:hAnsi="Times New Roman" w:cs="Times New Roman"/>
    </w:rPr>
  </w:style>
  <w:style w:type="paragraph" w:customStyle="1" w:styleId="xl106">
    <w:name w:val="xl106"/>
    <w:basedOn w:val="Normal"/>
    <w:rsid w:val="00307C17"/>
    <w:pPr>
      <w:pBdr>
        <w:top w:val="single" w:sz="4" w:space="0" w:color="14C978"/>
        <w:left w:val="single" w:sz="4" w:space="0" w:color="14C978"/>
        <w:bottom w:val="single" w:sz="4" w:space="0" w:color="14C978"/>
      </w:pBdr>
      <w:shd w:val="clear" w:color="000000" w:fill="E6E6E6"/>
      <w:jc w:val="center"/>
    </w:pPr>
    <w:rPr>
      <w:rFonts w:ascii="Times New Roman" w:hAnsi="Times New Roman" w:cs="Times New Roman"/>
      <w:b/>
      <w:bCs/>
      <w:sz w:val="16"/>
      <w:szCs w:val="16"/>
    </w:rPr>
  </w:style>
  <w:style w:type="paragraph" w:customStyle="1" w:styleId="xl107">
    <w:name w:val="xl107"/>
    <w:basedOn w:val="Normal"/>
    <w:rsid w:val="00307C17"/>
    <w:pPr>
      <w:pBdr>
        <w:top w:val="single" w:sz="4" w:space="0" w:color="14C978"/>
        <w:bottom w:val="single" w:sz="4" w:space="0" w:color="14C978"/>
      </w:pBdr>
      <w:shd w:val="clear" w:color="000000" w:fill="E6E6E6"/>
      <w:jc w:val="center"/>
    </w:pPr>
    <w:rPr>
      <w:rFonts w:ascii="Times New Roman" w:hAnsi="Times New Roman" w:cs="Times New Roman"/>
      <w:b/>
      <w:bCs/>
      <w:sz w:val="16"/>
      <w:szCs w:val="16"/>
    </w:rPr>
  </w:style>
  <w:style w:type="paragraph" w:customStyle="1" w:styleId="xl108">
    <w:name w:val="xl108"/>
    <w:basedOn w:val="Normal"/>
    <w:rsid w:val="00307C17"/>
    <w:pPr>
      <w:pBdr>
        <w:top w:val="single" w:sz="4" w:space="0" w:color="14C978"/>
        <w:bottom w:val="single" w:sz="4" w:space="0" w:color="14C978"/>
        <w:right w:val="single" w:sz="4" w:space="0" w:color="14C978"/>
      </w:pBdr>
      <w:shd w:val="clear" w:color="000000" w:fill="E6E6E6"/>
      <w:jc w:val="center"/>
    </w:pPr>
    <w:rPr>
      <w:rFonts w:ascii="Times New Roman" w:hAnsi="Times New Roman" w:cs="Times New Roman"/>
      <w:b/>
      <w:bCs/>
      <w:sz w:val="16"/>
      <w:szCs w:val="16"/>
    </w:rPr>
  </w:style>
  <w:style w:type="paragraph" w:customStyle="1" w:styleId="xl109">
    <w:name w:val="xl109"/>
    <w:basedOn w:val="Normal"/>
    <w:rsid w:val="00307C17"/>
    <w:pPr>
      <w:pBdr>
        <w:top w:val="single" w:sz="4" w:space="0" w:color="14C978"/>
        <w:left w:val="single" w:sz="4" w:space="0" w:color="14C978"/>
        <w:bottom w:val="single" w:sz="4" w:space="0" w:color="14C978"/>
        <w:right w:val="single" w:sz="4" w:space="0" w:color="14C978"/>
      </w:pBdr>
      <w:shd w:val="clear" w:color="000000" w:fill="E6E6E6"/>
      <w:jc w:val="center"/>
      <w:textAlignment w:val="center"/>
    </w:pPr>
    <w:rPr>
      <w:rFonts w:ascii="Times New Roman" w:hAnsi="Times New Roman" w:cs="Times New Roman"/>
      <w:b/>
      <w:bCs/>
    </w:rPr>
  </w:style>
  <w:style w:type="paragraph" w:customStyle="1" w:styleId="xl110">
    <w:name w:val="xl110"/>
    <w:basedOn w:val="Normal"/>
    <w:rsid w:val="00307C17"/>
    <w:pPr>
      <w:pBdr>
        <w:top w:val="single" w:sz="4" w:space="0" w:color="14C978"/>
        <w:bottom w:val="single" w:sz="4" w:space="0" w:color="14C978"/>
      </w:pBdr>
      <w:jc w:val="center"/>
    </w:pPr>
    <w:rPr>
      <w:rFonts w:ascii="Times New Roman" w:hAnsi="Times New Roman" w:cs="Times New Roman"/>
    </w:rPr>
  </w:style>
  <w:style w:type="paragraph" w:customStyle="1" w:styleId="xl111">
    <w:name w:val="xl111"/>
    <w:basedOn w:val="Normal"/>
    <w:rsid w:val="00307C17"/>
    <w:pPr>
      <w:pBdr>
        <w:top w:val="single" w:sz="4" w:space="0" w:color="14C978"/>
        <w:bottom w:val="single" w:sz="4" w:space="0" w:color="14C978"/>
        <w:right w:val="single" w:sz="4" w:space="0" w:color="14C978"/>
      </w:pBdr>
      <w:jc w:val="center"/>
    </w:pPr>
    <w:rPr>
      <w:rFonts w:ascii="Times New Roman" w:hAnsi="Times New Roman" w:cs="Times New Roman"/>
    </w:rPr>
  </w:style>
  <w:style w:type="character" w:styleId="MeniuneNerezolvat">
    <w:name w:val="Unresolved Mention"/>
    <w:basedOn w:val="Fontdeparagrafimplicit"/>
    <w:uiPriority w:val="99"/>
    <w:semiHidden/>
    <w:unhideWhenUsed/>
    <w:rsid w:val="005C12DF"/>
    <w:rPr>
      <w:color w:val="605E5C"/>
      <w:shd w:val="clear" w:color="auto" w:fill="E1DFDD"/>
    </w:rPr>
  </w:style>
  <w:style w:type="paragraph" w:customStyle="1" w:styleId="paragraph">
    <w:name w:val="paragraph"/>
    <w:basedOn w:val="Normal"/>
    <w:rsid w:val="008F7504"/>
    <w:pPr>
      <w:jc w:val="left"/>
    </w:pPr>
    <w:rPr>
      <w:rFonts w:ascii="Times New Roman" w:hAnsi="Times New Roman" w:cs="Times New Roman"/>
    </w:rPr>
  </w:style>
  <w:style w:type="character" w:customStyle="1" w:styleId="normaltextrun">
    <w:name w:val="normaltextrun"/>
    <w:basedOn w:val="Fontdeparagrafimplicit"/>
  </w:style>
  <w:style w:type="character" w:customStyle="1" w:styleId="eop">
    <w:name w:val="eop"/>
    <w:basedOn w:val="Fontdeparagrafimplicit"/>
  </w:style>
  <w:style w:type="paragraph" w:customStyle="1" w:styleId="CivNormalNumb">
    <w:name w:val="Civ Normal Numb"/>
    <w:basedOn w:val="Listparagraf"/>
    <w:qFormat/>
    <w:rsid w:val="00B72E56"/>
    <w:pPr>
      <w:ind w:left="0" w:hanging="357"/>
      <w:contextualSpacing w:val="0"/>
    </w:pPr>
  </w:style>
  <w:style w:type="character" w:customStyle="1" w:styleId="text-token-text-secondary">
    <w:name w:val="text-token-text-secondary"/>
    <w:basedOn w:val="Fontdeparagrafimplicit"/>
  </w:style>
  <w:style w:type="paragraph" w:customStyle="1" w:styleId="Normalbullet">
    <w:name w:val="Normal bullet"/>
    <w:basedOn w:val="Normal"/>
    <w:qFormat/>
    <w:rsid w:val="00CD717D"/>
    <w:pPr>
      <w:numPr>
        <w:numId w:val="3"/>
      </w:numPr>
      <w:contextualSpacing/>
    </w:pPr>
  </w:style>
  <w:style w:type="paragraph" w:styleId="Textnotdefinal">
    <w:name w:val="endnote text"/>
    <w:basedOn w:val="Normal"/>
    <w:link w:val="TextnotdefinalCaracter"/>
    <w:uiPriority w:val="99"/>
    <w:semiHidden/>
    <w:unhideWhenUsed/>
    <w:rsid w:val="00E640BE"/>
    <w:pPr>
      <w:spacing w:before="0" w:after="0"/>
      <w:jc w:val="left"/>
    </w:pPr>
    <w:rPr>
      <w:rFonts w:eastAsia="Arial"/>
      <w:szCs w:val="20"/>
    </w:rPr>
  </w:style>
  <w:style w:type="character" w:customStyle="1" w:styleId="TextnotdefinalCaracter">
    <w:name w:val="Text notă de final Caracter"/>
    <w:basedOn w:val="Fontdeparagrafimplicit"/>
    <w:link w:val="Textnotdefinal"/>
    <w:uiPriority w:val="99"/>
    <w:semiHidden/>
    <w:rPr>
      <w:sz w:val="20"/>
      <w:szCs w:val="20"/>
      <w:lang w:val="ro-RO"/>
    </w:rPr>
  </w:style>
  <w:style w:type="character" w:styleId="Referinnotdefinal">
    <w:name w:val="endnote reference"/>
    <w:basedOn w:val="Fontdeparagrafimplicit"/>
    <w:uiPriority w:val="99"/>
    <w:semiHidden/>
    <w:unhideWhenUsed/>
    <w:rsid w:val="00E640BE"/>
    <w:rPr>
      <w:vertAlign w:val="superscript"/>
    </w:rPr>
  </w:style>
  <w:style w:type="table" w:styleId="Tabelgril">
    <w:name w:val="Table Grid"/>
    <w:aliases w:val="ECORYS Tabela,CV1,HTG,CV table,chiffres,Tableau D,Table EY,Table Finalité,Row header"/>
    <w:basedOn w:val="TabelNormal"/>
    <w:uiPriority w:val="39"/>
    <w:rsid w:val="00E5361D"/>
    <w:pPr>
      <w:autoSpaceDN/>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Normal"/>
    <w:next w:val="Tabelgril"/>
    <w:uiPriority w:val="59"/>
    <w:rsid w:val="00E5361D"/>
    <w:pPr>
      <w:autoSpaceDN/>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uiPriority w:val="59"/>
    <w:rsid w:val="00E5361D"/>
    <w:pPr>
      <w:autoSpaceDN/>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elNormal"/>
    <w:next w:val="Listdeculoaredeschis-Accentuare5"/>
    <w:uiPriority w:val="61"/>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deculoaredeschis-Accentuare5">
    <w:name w:val="Light List Accent 5"/>
    <w:basedOn w:val="TabelNormal"/>
    <w:uiPriority w:val="61"/>
    <w:unhideWhenUsed/>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GridTable4-Accent51">
    <w:name w:val="Grid Table 4 - Accent 51"/>
    <w:basedOn w:val="TabelNormal"/>
    <w:uiPriority w:val="49"/>
    <w:rsid w:val="00E5361D"/>
    <w:pPr>
      <w:autoSpaceDN/>
      <w:spacing w:after="0" w:line="240" w:lineRule="auto"/>
    </w:pPr>
    <w:rPr>
      <w:rFonts w:ascii="Times New Roman" w:eastAsiaTheme="minorHAnsi" w:hAnsi="Times New Roman" w:cs="Times New Roman"/>
      <w:sz w:val="24"/>
      <w:szCs w:val="21"/>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ListTable3-Accent11">
    <w:name w:val="List Table 3 - Accent 11"/>
    <w:basedOn w:val="TabelNormal"/>
    <w:uiPriority w:val="48"/>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GridTable2-Accent11">
    <w:name w:val="Grid Table 2 - Accent 11"/>
    <w:basedOn w:val="TabelNormal"/>
    <w:uiPriority w:val="47"/>
    <w:rsid w:val="00E5361D"/>
    <w:pPr>
      <w:autoSpaceDN/>
      <w:spacing w:after="0" w:line="240" w:lineRule="auto"/>
      <w:jc w:val="both"/>
    </w:pPr>
    <w:rPr>
      <w:rFonts w:asciiTheme="minorHAnsi" w:eastAsiaTheme="minorHAnsi" w:hAnsiTheme="minorHAnsi" w:cstheme="minorBidi"/>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Umbriredeculoaredeschis-Accentuare1">
    <w:name w:val="Light Shading Accent 1"/>
    <w:basedOn w:val="TabelNormal"/>
    <w:uiPriority w:val="60"/>
    <w:rsid w:val="00E5361D"/>
    <w:pPr>
      <w:autoSpaceDN/>
      <w:spacing w:after="0" w:line="240" w:lineRule="auto"/>
    </w:pPr>
    <w:rPr>
      <w:rFonts w:asciiTheme="minorHAnsi" w:eastAsiaTheme="minorHAnsi" w:hAnsiTheme="minorHAnsi" w:cstheme="minorBidi"/>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paragraph" w:customStyle="1" w:styleId="TabelNormal1">
    <w:name w:val="Tabel Normal1"/>
    <w:basedOn w:val="Normal"/>
    <w:link w:val="NormaltableCaracter"/>
    <w:qFormat/>
    <w:rsid w:val="00E06643"/>
    <w:pPr>
      <w:spacing w:before="0" w:after="0"/>
    </w:pPr>
    <w:rPr>
      <w:rFonts w:eastAsia="Arial"/>
      <w:szCs w:val="20"/>
    </w:rPr>
  </w:style>
  <w:style w:type="character" w:customStyle="1" w:styleId="NormaltableCaracter">
    <w:name w:val="Normal table Caracter"/>
    <w:basedOn w:val="Fontdeparagrafimplicit"/>
    <w:link w:val="TabelNormal1"/>
    <w:rPr>
      <w:sz w:val="20"/>
      <w:szCs w:val="20"/>
      <w:lang w:val="ro-RO"/>
    </w:rPr>
  </w:style>
  <w:style w:type="paragraph" w:customStyle="1" w:styleId="TableNormal1">
    <w:name w:val="Table Normal1"/>
    <w:basedOn w:val="Normal"/>
    <w:qFormat/>
    <w:rsid w:val="006E3DF5"/>
    <w:pPr>
      <w:spacing w:before="60" w:after="60"/>
    </w:pPr>
    <w:rPr>
      <w:rFonts w:eastAsia="Arial"/>
    </w:rPr>
  </w:style>
  <w:style w:type="paragraph" w:customStyle="1" w:styleId="TableNormal2">
    <w:name w:val="Table Normal2"/>
    <w:basedOn w:val="Normal"/>
    <w:link w:val="NormaltableChar"/>
    <w:qFormat/>
    <w:rsid w:val="006E3DF5"/>
    <w:pPr>
      <w:spacing w:before="0" w:after="0"/>
    </w:pPr>
  </w:style>
  <w:style w:type="character" w:customStyle="1" w:styleId="NormaltableChar">
    <w:name w:val="Normal table Char"/>
    <w:basedOn w:val="Fontdeparagrafimplicit"/>
    <w:link w:val="TableNormal2"/>
    <w:rPr>
      <w:rFonts w:eastAsia="Times New Roman"/>
      <w:sz w:val="20"/>
      <w:szCs w:val="24"/>
      <w:lang w:val="ro-RO"/>
    </w:rPr>
  </w:style>
  <w:style w:type="paragraph" w:customStyle="1" w:styleId="Numparagraphnormal">
    <w:name w:val="Num paragraph normal"/>
    <w:basedOn w:val="Listparagraf"/>
    <w:link w:val="NumparagraphnormalChar"/>
    <w:qFormat/>
    <w:rsid w:val="00876344"/>
    <w:pPr>
      <w:ind w:left="0"/>
      <w:contextualSpacing w:val="0"/>
    </w:pPr>
    <w:rPr>
      <w:szCs w:val="20"/>
    </w:rPr>
  </w:style>
  <w:style w:type="character" w:customStyle="1" w:styleId="NumparagraphnormalChar">
    <w:name w:val="Num paragraph normal Char"/>
    <w:basedOn w:val="ListparagrafCaracter"/>
    <w:link w:val="Numparagraphnormal"/>
    <w:rPr>
      <w:rFonts w:eastAsiaTheme="minorHAnsi"/>
      <w:sz w:val="20"/>
      <w:szCs w:val="20"/>
      <w:lang w:val="ro-RO"/>
    </w:rPr>
  </w:style>
  <w:style w:type="table" w:styleId="Listdeculoaredeschis-Accentuare2">
    <w:name w:val="Light List Accent 2"/>
    <w:basedOn w:val="TabelNormal"/>
    <w:uiPriority w:val="61"/>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Grilmedie1-Accentuare4">
    <w:name w:val="Medium Grid 1 Accent 4"/>
    <w:basedOn w:val="TabelNormal"/>
    <w:uiPriority w:val="67"/>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Grilmedie1-Accentuare1">
    <w:name w:val="Medium Grid 1 Accent 1"/>
    <w:basedOn w:val="TabelNormal"/>
    <w:uiPriority w:val="67"/>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Grilmedie1-Accentuare5">
    <w:name w:val="Medium Grid 1 Accent 5"/>
    <w:basedOn w:val="TabelNormal"/>
    <w:uiPriority w:val="67"/>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customStyle="1" w:styleId="ListTable3-Accent12">
    <w:name w:val="List Table 3 - Accent 12"/>
    <w:basedOn w:val="TabelNormal"/>
    <w:uiPriority w:val="48"/>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elgril3-Accentuare1">
    <w:name w:val="Grid Table 3 Accent 1"/>
    <w:basedOn w:val="TabelNormal"/>
    <w:uiPriority w:val="48"/>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gril4-Accentuare1">
    <w:name w:val="Grid Table 4 Accent 1"/>
    <w:basedOn w:val="TabelNormal"/>
    <w:uiPriority w:val="49"/>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gril6Colorat-Accentuare3">
    <w:name w:val="Grid Table 6 Colorful Accent 3"/>
    <w:basedOn w:val="TabelNormal"/>
    <w:uiPriority w:val="51"/>
    <w:rsid w:val="00E5361D"/>
    <w:pPr>
      <w:autoSpaceDN/>
      <w:spacing w:after="0" w:line="240" w:lineRule="auto"/>
    </w:pPr>
    <w:rPr>
      <w:rFonts w:asciiTheme="minorHAnsi" w:eastAsiaTheme="minorHAnsi" w:hAnsiTheme="minorHAnsi" w:cstheme="minorBidi"/>
      <w:color w:val="124F1A" w:themeColor="accent3" w:themeShade="BF"/>
      <w:lang w:val="en-GB"/>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elgril3-Accentuare11">
    <w:name w:val="Tabel grilă 3 - Accentuare 11"/>
    <w:basedOn w:val="TabelNormal"/>
    <w:next w:val="Tabelgril3-Accentuare1"/>
    <w:uiPriority w:val="48"/>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Tabelgril4-Accentuare11">
    <w:name w:val="Tabel grilă 4 - Accentuare 11"/>
    <w:basedOn w:val="TabelNormal"/>
    <w:next w:val="Tabelgril4-Accentuare1"/>
    <w:uiPriority w:val="49"/>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gril4-Accentuare5">
    <w:name w:val="Grid Table 4 Accent 5"/>
    <w:basedOn w:val="TabelNormal"/>
    <w:uiPriority w:val="49"/>
    <w:rsid w:val="00E5361D"/>
    <w:pPr>
      <w:autoSpaceDN/>
      <w:spacing w:after="0" w:line="240" w:lineRule="auto"/>
    </w:pPr>
    <w:rPr>
      <w:rFonts w:asciiTheme="minorHAnsi" w:eastAsiaTheme="minorHAnsi" w:hAnsiTheme="minorHAnsi" w:cstheme="minorBidi"/>
      <w:lang w:val="ro-RO"/>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gril1Luminos-Accentuare5">
    <w:name w:val="Grid Table 1 Light Accent 5"/>
    <w:basedOn w:val="TabelNormal"/>
    <w:uiPriority w:val="46"/>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elgril1Luminos-Accentuare1">
    <w:name w:val="Grid Table 1 Light Accent 1"/>
    <w:basedOn w:val="TabelNormal"/>
    <w:uiPriority w:val="46"/>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elgrilLuminos">
    <w:name w:val="Grid Table Light"/>
    <w:basedOn w:val="TabelNormal"/>
    <w:uiPriority w:val="40"/>
    <w:rsid w:val="00E5361D"/>
    <w:pPr>
      <w:autoSpaceDN/>
      <w:spacing w:after="0" w:line="240" w:lineRule="auto"/>
    </w:pPr>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1Luminos-Accentuare1">
    <w:name w:val="List Table 1 Light Accent 1"/>
    <w:basedOn w:val="TabelNormal"/>
    <w:uiPriority w:val="46"/>
    <w:rsid w:val="00E5361D"/>
    <w:pPr>
      <w:autoSpaceDN/>
      <w:spacing w:after="0" w:line="240" w:lineRule="auto"/>
    </w:pPr>
    <w:rPr>
      <w:rFonts w:asciiTheme="minorHAnsi" w:eastAsiaTheme="minorHAnsi" w:hAnsiTheme="minorHAnsi" w:cstheme="minorBidi"/>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list4-Accentuare1">
    <w:name w:val="List Table 4 Accent 1"/>
    <w:basedOn w:val="TabelNormal"/>
    <w:uiPriority w:val="49"/>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gril4-Accentuare3">
    <w:name w:val="Grid Table 4 Accent 3"/>
    <w:basedOn w:val="TabelNormal"/>
    <w:uiPriority w:val="49"/>
    <w:rsid w:val="00E5361D"/>
    <w:pPr>
      <w:autoSpaceDN/>
      <w:spacing w:after="0" w:line="240" w:lineRule="auto"/>
    </w:pPr>
    <w:rPr>
      <w:rFonts w:asciiTheme="minorHAnsi" w:eastAsia="SimSun" w:hAnsiTheme="minorHAnsi" w:cs="Cambria"/>
      <w:lang w:val="lt-LT"/>
    </w:rPr>
    <w:tblPr>
      <w:tblStyleRowBandSize w:val="1"/>
      <w:tblStyleColBandSize w:val="1"/>
      <w:tblInd w:w="0" w:type="nil"/>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eGrid3">
    <w:name w:val="Table Grid3"/>
    <w:basedOn w:val="TabelNormal"/>
    <w:next w:val="Tabelgril"/>
    <w:uiPriority w:val="59"/>
    <w:rsid w:val="00E5361D"/>
    <w:pPr>
      <w:autoSpaceDN/>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FrListare"/>
    <w:uiPriority w:val="99"/>
    <w:semiHidden/>
    <w:unhideWhenUsed/>
    <w:rsid w:val="00E5361D"/>
  </w:style>
  <w:style w:type="table" w:customStyle="1" w:styleId="ECORYSTabela1">
    <w:name w:val="ECORYS Tabela1"/>
    <w:basedOn w:val="TabelNormal"/>
    <w:next w:val="Tabelgril"/>
    <w:uiPriority w:val="39"/>
    <w:rsid w:val="00E5361D"/>
    <w:pPr>
      <w:autoSpaceDN/>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elNormal"/>
    <w:next w:val="Umbriredeculoaredeschis-Accentuare1"/>
    <w:uiPriority w:val="60"/>
    <w:semiHidden/>
    <w:unhideWhenUsed/>
    <w:rsid w:val="00E5361D"/>
    <w:pPr>
      <w:autoSpaceDN/>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1-Accent11">
    <w:name w:val="Medium Grid 1 - Accent 11"/>
    <w:basedOn w:val="TabelNormal"/>
    <w:next w:val="Grilmedie1-Accentuare1"/>
    <w:uiPriority w:val="67"/>
    <w:semiHidden/>
    <w:unhideWhenUsed/>
    <w:rsid w:val="00E5361D"/>
    <w:pPr>
      <w:autoSpaceDN/>
      <w:spacing w:after="0" w:line="240" w:lineRule="auto"/>
    </w:pPr>
    <w:rPr>
      <w:rFonts w:ascii="Calibri" w:eastAsia="Calibri" w:hAnsi="Calibri" w:cs="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List-Accent21">
    <w:name w:val="Light List - Accent 21"/>
    <w:basedOn w:val="TabelNormal"/>
    <w:next w:val="Listdeculoaredeschis-Accentuare2"/>
    <w:uiPriority w:val="61"/>
    <w:semiHidden/>
    <w:unhideWhenUsed/>
    <w:rsid w:val="00E5361D"/>
    <w:pPr>
      <w:autoSpaceDN/>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Grid1-Accent41">
    <w:name w:val="Medium Grid 1 - Accent 41"/>
    <w:basedOn w:val="TabelNormal"/>
    <w:next w:val="Grilmedie1-Accentuare4"/>
    <w:uiPriority w:val="67"/>
    <w:semiHidden/>
    <w:unhideWhenUsed/>
    <w:rsid w:val="00E5361D"/>
    <w:pPr>
      <w:autoSpaceDN/>
      <w:spacing w:after="0" w:line="240" w:lineRule="auto"/>
    </w:pPr>
    <w:rPr>
      <w:rFonts w:ascii="Calibri" w:eastAsia="Calibri" w:hAnsi="Calibri" w:cs="Times New Roma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elNormal"/>
    <w:next w:val="Grilmedie1-Accentuare5"/>
    <w:uiPriority w:val="67"/>
    <w:semiHidden/>
    <w:unhideWhenUsed/>
    <w:rsid w:val="00E5361D"/>
    <w:pPr>
      <w:autoSpaceDN/>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3-Accent51">
    <w:name w:val="Medium Grid 3 - Accent 51"/>
    <w:basedOn w:val="TabelNormal"/>
    <w:next w:val="Grilmedie3-Accentuare5"/>
    <w:uiPriority w:val="69"/>
    <w:semiHidden/>
    <w:unhideWhenUsed/>
    <w:rsid w:val="00E5361D"/>
    <w:pPr>
      <w:autoSpaceDN/>
      <w:spacing w:after="0" w:line="240" w:lineRule="auto"/>
    </w:pPr>
    <w:rPr>
      <w:rFonts w:ascii="Times New Roman" w:eastAsia="Times New Roman" w:hAnsi="Times New Roman" w:cs="Times New Roman"/>
      <w:bCs/>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11">
    <w:name w:val="Grid Table 4 - Accent 11"/>
    <w:basedOn w:val="TabelNormal"/>
    <w:next w:val="Tabelgril4-Accentuare1"/>
    <w:uiPriority w:val="49"/>
    <w:rsid w:val="00E5361D"/>
    <w:pPr>
      <w:autoSpaceDN/>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elNormal"/>
    <w:next w:val="Tabelgril5ntunecat-Accentuare1"/>
    <w:uiPriority w:val="50"/>
    <w:rsid w:val="00E5361D"/>
    <w:pPr>
      <w:autoSpaceDN/>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
    <w:name w:val="Grid Table 4 - Accent 21"/>
    <w:basedOn w:val="TabelNormal"/>
    <w:next w:val="Tabelgril4-Accentuare2"/>
    <w:uiPriority w:val="49"/>
    <w:rsid w:val="00E5361D"/>
    <w:pPr>
      <w:autoSpaceDN/>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elNormal"/>
    <w:next w:val="Tabelgril5ntunecat-Accentuare2"/>
    <w:uiPriority w:val="50"/>
    <w:rsid w:val="00E5361D"/>
    <w:pPr>
      <w:autoSpaceDN/>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elNormal"/>
    <w:next w:val="Tabelgril5ntunecat-Accentuare3"/>
    <w:uiPriority w:val="50"/>
    <w:rsid w:val="00E5361D"/>
    <w:pPr>
      <w:autoSpaceDN/>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2">
    <w:name w:val="Grid Table 4 - Accent 52"/>
    <w:basedOn w:val="TabelNormal"/>
    <w:next w:val="Tabelgril4-Accentuare5"/>
    <w:uiPriority w:val="49"/>
    <w:rsid w:val="00E5361D"/>
    <w:pPr>
      <w:autoSpaceDN/>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elNormal"/>
    <w:next w:val="Tabelgril5ntunecat-Accentuare5"/>
    <w:uiPriority w:val="50"/>
    <w:rsid w:val="00E5361D"/>
    <w:pPr>
      <w:autoSpaceDN/>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2-Accent111">
    <w:name w:val="Grid Table 2 - Accent 111"/>
    <w:basedOn w:val="TabelNormal"/>
    <w:uiPriority w:val="47"/>
    <w:rsid w:val="00E5361D"/>
    <w:pPr>
      <w:autoSpaceDN/>
      <w:spacing w:after="0" w:line="240" w:lineRule="auto"/>
      <w:jc w:val="both"/>
    </w:pPr>
    <w:rPr>
      <w:rFonts w:ascii="Calibri" w:eastAsia="Calibri"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1"/>
    <w:basedOn w:val="TabelNormal"/>
    <w:uiPriority w:val="59"/>
    <w:rsid w:val="00E5361D"/>
    <w:pPr>
      <w:autoSpaceDN/>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Normal"/>
    <w:uiPriority w:val="39"/>
    <w:rsid w:val="00E5361D"/>
    <w:pPr>
      <w:autoSpaceDN/>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elNormal"/>
    <w:uiPriority w:val="49"/>
    <w:rsid w:val="00E5361D"/>
    <w:pPr>
      <w:autoSpaceDN/>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01">
    <w:name w:val="List 01"/>
    <w:rsid w:val="00E5361D"/>
  </w:style>
  <w:style w:type="table" w:styleId="Grilmedie3-Accentuare5">
    <w:name w:val="Medium Grid 3 Accent 5"/>
    <w:basedOn w:val="TabelNormal"/>
    <w:uiPriority w:val="69"/>
    <w:semiHidden/>
    <w:unhideWhenUsed/>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Tabelgril5ntunecat-Accentuare1">
    <w:name w:val="Grid Table 5 Dark Accent 1"/>
    <w:basedOn w:val="TabelNormal"/>
    <w:uiPriority w:val="50"/>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elgril4-Accentuare2">
    <w:name w:val="Grid Table 4 Accent 2"/>
    <w:basedOn w:val="TabelNormal"/>
    <w:uiPriority w:val="49"/>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gril5ntunecat-Accentuare2">
    <w:name w:val="Grid Table 5 Dark Accent 2"/>
    <w:basedOn w:val="TabelNormal"/>
    <w:uiPriority w:val="50"/>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Tabelgril5ntunecat-Accentuare3">
    <w:name w:val="Grid Table 5 Dark Accent 3"/>
    <w:basedOn w:val="TabelNormal"/>
    <w:uiPriority w:val="50"/>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Tabelgril5ntunecat-Accentuare5">
    <w:name w:val="Grid Table 5 Dark Accent 5"/>
    <w:basedOn w:val="TabelNormal"/>
    <w:uiPriority w:val="50"/>
    <w:rsid w:val="00E5361D"/>
    <w:pPr>
      <w:autoSpaceDN/>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Rowheader1">
    <w:name w:val="Row header1"/>
    <w:basedOn w:val="TabelNormal"/>
    <w:next w:val="Tabelgril"/>
    <w:uiPriority w:val="59"/>
    <w:rsid w:val="00E5361D"/>
    <w:pPr>
      <w:autoSpaceDN/>
      <w:spacing w:after="0" w:line="240" w:lineRule="auto"/>
    </w:pPr>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2">
    <w:name w:val="ECORYS Tabela2"/>
    <w:basedOn w:val="TabelNormal"/>
    <w:next w:val="Tabelgril"/>
    <w:uiPriority w:val="59"/>
    <w:rsid w:val="00E5361D"/>
    <w:pPr>
      <w:autoSpaceDN/>
      <w:spacing w:after="0" w:line="240" w:lineRule="auto"/>
    </w:pPr>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unhideWhenUsed/>
    <w:rsid w:val="00E5361D"/>
  </w:style>
  <w:style w:type="table" w:customStyle="1" w:styleId="Civittatable">
    <w:name w:val="Civitta table"/>
    <w:basedOn w:val="TabelNormal"/>
    <w:uiPriority w:val="99"/>
    <w:rsid w:val="00E5361D"/>
    <w:pPr>
      <w:autoSpaceDN/>
      <w:spacing w:before="60" w:after="60" w:line="240" w:lineRule="auto"/>
    </w:pPr>
    <w:rPr>
      <w:rFonts w:asciiTheme="minorHAnsi" w:eastAsia="SimSun" w:hAnsiTheme="minorHAnsi" w:cs="Cambria"/>
      <w:bCs/>
      <w:sz w:val="20"/>
      <w:lang w:val="lt-LT"/>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0E2841"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table" w:styleId="Tabelgril6Colorat-Accentuare1">
    <w:name w:val="Grid Table 6 Colorful Accent 1"/>
    <w:basedOn w:val="TabelNormal"/>
    <w:uiPriority w:val="51"/>
    <w:rsid w:val="00E5361D"/>
    <w:pPr>
      <w:autoSpaceDN/>
      <w:spacing w:after="0" w:line="240" w:lineRule="auto"/>
    </w:pPr>
    <w:rPr>
      <w:rFonts w:asciiTheme="minorHAnsi" w:eastAsiaTheme="minorHAnsi" w:hAnsiTheme="minorHAnsi" w:cstheme="minorBidi"/>
      <w:color w:val="0F4761" w:themeColor="accent1" w:themeShade="BF"/>
      <w:kern w:val="2"/>
      <w:sz w:val="24"/>
      <w:szCs w:val="24"/>
      <w:lang w:val="ro-RO"/>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leGrid4">
    <w:name w:val="Table Grid4"/>
    <w:basedOn w:val="TabelNormal"/>
    <w:next w:val="Tabelgril"/>
    <w:uiPriority w:val="59"/>
    <w:rsid w:val="00E5361D"/>
    <w:pPr>
      <w:autoSpaceDN/>
      <w:spacing w:after="0" w:line="240" w:lineRule="auto"/>
    </w:pPr>
    <w:rPr>
      <w:rFonts w:ascii="Calibri" w:eastAsia="Yu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ist3-Accentuare21">
    <w:name w:val="Tabel listă 3 - Accentuare 21"/>
    <w:basedOn w:val="TabelNormal"/>
    <w:uiPriority w:val="48"/>
    <w:rsid w:val="00E5361D"/>
    <w:pPr>
      <w:autoSpaceDN/>
      <w:spacing w:after="0" w:line="240" w:lineRule="auto"/>
    </w:pPr>
    <w:rPr>
      <w:rFonts w:asciiTheme="minorHAnsi" w:eastAsiaTheme="minorEastAsia" w:hAnsiTheme="minorHAnsi" w:cstheme="minorBidi"/>
      <w:sz w:val="24"/>
      <w:szCs w:val="24"/>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Tabelcugril4">
    <w:name w:val="Grid Table 4"/>
    <w:basedOn w:val="TabelNormal"/>
    <w:uiPriority w:val="49"/>
    <w:rsid w:val="00E5361D"/>
    <w:pPr>
      <w:autoSpaceDN/>
      <w:spacing w:after="0" w:line="240" w:lineRule="auto"/>
    </w:pPr>
    <w:rPr>
      <w:rFonts w:asciiTheme="minorHAnsi" w:eastAsiaTheme="minorEastAsia" w:hAnsiTheme="minorHAnsi" w:cstheme="minorBidi"/>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elNormal"/>
    <w:next w:val="Tabelcugril4"/>
    <w:uiPriority w:val="49"/>
    <w:rsid w:val="00E5361D"/>
    <w:pPr>
      <w:autoSpaceDN/>
      <w:spacing w:after="0" w:line="240" w:lineRule="auto"/>
    </w:pPr>
    <w:rPr>
      <w:rFonts w:asciiTheme="minorHAnsi" w:eastAsia="Aptos" w:hAnsiTheme="minorHAnsi" w:cstheme="minorBidi"/>
      <w:kern w:val="2"/>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elNormal"/>
    <w:next w:val="Tabelgril4-Accentuare1"/>
    <w:uiPriority w:val="49"/>
    <w:rsid w:val="00E5361D"/>
    <w:pPr>
      <w:autoSpaceDN/>
      <w:spacing w:after="0" w:line="240" w:lineRule="auto"/>
    </w:pPr>
    <w:rPr>
      <w:rFonts w:asciiTheme="minorHAnsi" w:eastAsiaTheme="minorHAnsi" w:hAnsiTheme="minorHAnsi" w:cstheme="minorBid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elNormal"/>
    <w:next w:val="Tabelgril4-Accentuare1"/>
    <w:uiPriority w:val="49"/>
    <w:rsid w:val="00E5361D"/>
    <w:pPr>
      <w:autoSpaceDN/>
      <w:spacing w:after="0" w:line="240" w:lineRule="auto"/>
    </w:pPr>
    <w:rPr>
      <w:rFonts w:asciiTheme="minorHAnsi" w:eastAsiaTheme="minorHAnsi" w:hAnsiTheme="minorHAnsi" w:cstheme="minorBid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List0">
    <w:name w:val="List 0"/>
    <w:basedOn w:val="FrListare"/>
    <w:pPr>
      <w:numPr>
        <w:numId w:val="3"/>
      </w:numPr>
    </w:pPr>
  </w:style>
  <w:style w:type="numbering" w:customStyle="1" w:styleId="Headings">
    <w:name w:val="Headings"/>
    <w:basedOn w:val="FrListare"/>
    <w:uiPriority w:val="99"/>
    <w:pPr>
      <w:numPr>
        <w:numId w:val="4"/>
      </w:numPr>
    </w:pPr>
  </w:style>
  <w:style w:type="numbering" w:customStyle="1" w:styleId="LFO1">
    <w:name w:val="LFO1"/>
    <w:basedOn w:val="FrListare"/>
    <w:pPr>
      <w:numPr>
        <w:numId w:val="5"/>
      </w:numPr>
    </w:pPr>
  </w:style>
  <w:style w:type="numbering" w:customStyle="1" w:styleId="LFO2">
    <w:name w:val="LFO2"/>
    <w:basedOn w:val="FrListare"/>
    <w:pPr>
      <w:numPr>
        <w:numId w:val="6"/>
      </w:numPr>
    </w:pPr>
  </w:style>
  <w:style w:type="numbering" w:customStyle="1" w:styleId="LFO3">
    <w:name w:val="LFO3"/>
    <w:basedOn w:val="FrListare"/>
    <w:pPr>
      <w:numPr>
        <w:numId w:val="7"/>
      </w:numPr>
    </w:pPr>
  </w:style>
  <w:style w:type="numbering" w:customStyle="1" w:styleId="LFO4">
    <w:name w:val="LFO4"/>
    <w:basedOn w:val="FrListare"/>
    <w:pPr>
      <w:numPr>
        <w:numId w:val="8"/>
      </w:numPr>
    </w:pPr>
  </w:style>
  <w:style w:type="numbering" w:customStyle="1" w:styleId="LFO5">
    <w:name w:val="LFO5"/>
    <w:basedOn w:val="FrListare"/>
    <w:pPr>
      <w:numPr>
        <w:numId w:val="9"/>
      </w:numPr>
    </w:pPr>
  </w:style>
  <w:style w:type="numbering" w:customStyle="1" w:styleId="LFO6">
    <w:name w:val="LFO6"/>
    <w:basedOn w:val="FrListare"/>
    <w:pPr>
      <w:numPr>
        <w:numId w:val="10"/>
      </w:numPr>
    </w:pPr>
  </w:style>
  <w:style w:type="numbering" w:customStyle="1" w:styleId="LFO7">
    <w:name w:val="LFO7"/>
    <w:basedOn w:val="FrListare"/>
    <w:pPr>
      <w:numPr>
        <w:numId w:val="11"/>
      </w:numPr>
    </w:pPr>
  </w:style>
  <w:style w:type="numbering" w:customStyle="1" w:styleId="LFO8">
    <w:name w:val="LFO8"/>
    <w:basedOn w:val="FrListare"/>
    <w:pPr>
      <w:numPr>
        <w:numId w:val="12"/>
      </w:numPr>
    </w:pPr>
  </w:style>
  <w:style w:type="numbering" w:customStyle="1" w:styleId="LFO9">
    <w:name w:val="LFO9"/>
    <w:basedOn w:val="FrListare"/>
    <w:pPr>
      <w:numPr>
        <w:numId w:val="13"/>
      </w:numPr>
    </w:pPr>
  </w:style>
  <w:style w:type="numbering" w:customStyle="1" w:styleId="LFO10">
    <w:name w:val="LFO10"/>
    <w:basedOn w:val="FrListare"/>
    <w:pPr>
      <w:numPr>
        <w:numId w:val="14"/>
      </w:numPr>
    </w:pPr>
  </w:style>
  <w:style w:type="numbering" w:customStyle="1" w:styleId="LFO11">
    <w:name w:val="LFO11"/>
    <w:basedOn w:val="FrListare"/>
    <w:pPr>
      <w:numPr>
        <w:numId w:val="15"/>
      </w:numPr>
    </w:pPr>
  </w:style>
  <w:style w:type="numbering" w:customStyle="1" w:styleId="LFO12">
    <w:name w:val="LFO12"/>
    <w:basedOn w:val="FrListare"/>
    <w:pPr>
      <w:numPr>
        <w:numId w:val="28"/>
      </w:numPr>
    </w:pPr>
  </w:style>
  <w:style w:type="numbering" w:customStyle="1" w:styleId="LFO18">
    <w:name w:val="LFO18"/>
    <w:basedOn w:val="FrListare"/>
    <w:pPr>
      <w:numPr>
        <w:numId w:val="18"/>
      </w:numPr>
    </w:pPr>
  </w:style>
  <w:style w:type="numbering" w:customStyle="1" w:styleId="LFO19">
    <w:name w:val="LFO19"/>
    <w:basedOn w:val="FrListare"/>
    <w:pPr>
      <w:numPr>
        <w:numId w:val="17"/>
      </w:numPr>
    </w:pPr>
  </w:style>
  <w:style w:type="paragraph" w:customStyle="1" w:styleId="Style2">
    <w:name w:val="Style2"/>
    <w:basedOn w:val="Listparagraf"/>
    <w:qFormat/>
    <w:rsid w:val="00150F8E"/>
    <w:pPr>
      <w:ind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394">
      <w:bodyDiv w:val="1"/>
      <w:marLeft w:val="0"/>
      <w:marRight w:val="0"/>
      <w:marTop w:val="0"/>
      <w:marBottom w:val="0"/>
      <w:divBdr>
        <w:top w:val="none" w:sz="0" w:space="0" w:color="auto"/>
        <w:left w:val="none" w:sz="0" w:space="0" w:color="auto"/>
        <w:bottom w:val="none" w:sz="0" w:space="0" w:color="auto"/>
        <w:right w:val="none" w:sz="0" w:space="0" w:color="auto"/>
      </w:divBdr>
    </w:div>
    <w:div w:id="11881226">
      <w:bodyDiv w:val="1"/>
      <w:marLeft w:val="0"/>
      <w:marRight w:val="0"/>
      <w:marTop w:val="0"/>
      <w:marBottom w:val="0"/>
      <w:divBdr>
        <w:top w:val="none" w:sz="0" w:space="0" w:color="auto"/>
        <w:left w:val="none" w:sz="0" w:space="0" w:color="auto"/>
        <w:bottom w:val="none" w:sz="0" w:space="0" w:color="auto"/>
        <w:right w:val="none" w:sz="0" w:space="0" w:color="auto"/>
      </w:divBdr>
    </w:div>
    <w:div w:id="13464409">
      <w:bodyDiv w:val="1"/>
      <w:marLeft w:val="0"/>
      <w:marRight w:val="0"/>
      <w:marTop w:val="0"/>
      <w:marBottom w:val="0"/>
      <w:divBdr>
        <w:top w:val="none" w:sz="0" w:space="0" w:color="auto"/>
        <w:left w:val="none" w:sz="0" w:space="0" w:color="auto"/>
        <w:bottom w:val="none" w:sz="0" w:space="0" w:color="auto"/>
        <w:right w:val="none" w:sz="0" w:space="0" w:color="auto"/>
      </w:divBdr>
    </w:div>
    <w:div w:id="20403257">
      <w:bodyDiv w:val="1"/>
      <w:marLeft w:val="0"/>
      <w:marRight w:val="0"/>
      <w:marTop w:val="0"/>
      <w:marBottom w:val="0"/>
      <w:divBdr>
        <w:top w:val="none" w:sz="0" w:space="0" w:color="auto"/>
        <w:left w:val="none" w:sz="0" w:space="0" w:color="auto"/>
        <w:bottom w:val="none" w:sz="0" w:space="0" w:color="auto"/>
        <w:right w:val="none" w:sz="0" w:space="0" w:color="auto"/>
      </w:divBdr>
    </w:div>
    <w:div w:id="21059119">
      <w:bodyDiv w:val="1"/>
      <w:marLeft w:val="0"/>
      <w:marRight w:val="0"/>
      <w:marTop w:val="0"/>
      <w:marBottom w:val="0"/>
      <w:divBdr>
        <w:top w:val="none" w:sz="0" w:space="0" w:color="auto"/>
        <w:left w:val="none" w:sz="0" w:space="0" w:color="auto"/>
        <w:bottom w:val="none" w:sz="0" w:space="0" w:color="auto"/>
        <w:right w:val="none" w:sz="0" w:space="0" w:color="auto"/>
      </w:divBdr>
    </w:div>
    <w:div w:id="22900038">
      <w:bodyDiv w:val="1"/>
      <w:marLeft w:val="0"/>
      <w:marRight w:val="0"/>
      <w:marTop w:val="0"/>
      <w:marBottom w:val="0"/>
      <w:divBdr>
        <w:top w:val="none" w:sz="0" w:space="0" w:color="auto"/>
        <w:left w:val="none" w:sz="0" w:space="0" w:color="auto"/>
        <w:bottom w:val="none" w:sz="0" w:space="0" w:color="auto"/>
        <w:right w:val="none" w:sz="0" w:space="0" w:color="auto"/>
      </w:divBdr>
    </w:div>
    <w:div w:id="33696604">
      <w:bodyDiv w:val="1"/>
      <w:marLeft w:val="0"/>
      <w:marRight w:val="0"/>
      <w:marTop w:val="0"/>
      <w:marBottom w:val="0"/>
      <w:divBdr>
        <w:top w:val="none" w:sz="0" w:space="0" w:color="auto"/>
        <w:left w:val="none" w:sz="0" w:space="0" w:color="auto"/>
        <w:bottom w:val="none" w:sz="0" w:space="0" w:color="auto"/>
        <w:right w:val="none" w:sz="0" w:space="0" w:color="auto"/>
      </w:divBdr>
    </w:div>
    <w:div w:id="35741129">
      <w:bodyDiv w:val="1"/>
      <w:marLeft w:val="0"/>
      <w:marRight w:val="0"/>
      <w:marTop w:val="0"/>
      <w:marBottom w:val="0"/>
      <w:divBdr>
        <w:top w:val="none" w:sz="0" w:space="0" w:color="auto"/>
        <w:left w:val="none" w:sz="0" w:space="0" w:color="auto"/>
        <w:bottom w:val="none" w:sz="0" w:space="0" w:color="auto"/>
        <w:right w:val="none" w:sz="0" w:space="0" w:color="auto"/>
      </w:divBdr>
    </w:div>
    <w:div w:id="39549513">
      <w:bodyDiv w:val="1"/>
      <w:marLeft w:val="0"/>
      <w:marRight w:val="0"/>
      <w:marTop w:val="0"/>
      <w:marBottom w:val="0"/>
      <w:divBdr>
        <w:top w:val="none" w:sz="0" w:space="0" w:color="auto"/>
        <w:left w:val="none" w:sz="0" w:space="0" w:color="auto"/>
        <w:bottom w:val="none" w:sz="0" w:space="0" w:color="auto"/>
        <w:right w:val="none" w:sz="0" w:space="0" w:color="auto"/>
      </w:divBdr>
    </w:div>
    <w:div w:id="41026823">
      <w:bodyDiv w:val="1"/>
      <w:marLeft w:val="0"/>
      <w:marRight w:val="0"/>
      <w:marTop w:val="0"/>
      <w:marBottom w:val="0"/>
      <w:divBdr>
        <w:top w:val="none" w:sz="0" w:space="0" w:color="auto"/>
        <w:left w:val="none" w:sz="0" w:space="0" w:color="auto"/>
        <w:bottom w:val="none" w:sz="0" w:space="0" w:color="auto"/>
        <w:right w:val="none" w:sz="0" w:space="0" w:color="auto"/>
      </w:divBdr>
    </w:div>
    <w:div w:id="42607616">
      <w:bodyDiv w:val="1"/>
      <w:marLeft w:val="0"/>
      <w:marRight w:val="0"/>
      <w:marTop w:val="0"/>
      <w:marBottom w:val="0"/>
      <w:divBdr>
        <w:top w:val="none" w:sz="0" w:space="0" w:color="auto"/>
        <w:left w:val="none" w:sz="0" w:space="0" w:color="auto"/>
        <w:bottom w:val="none" w:sz="0" w:space="0" w:color="auto"/>
        <w:right w:val="none" w:sz="0" w:space="0" w:color="auto"/>
      </w:divBdr>
    </w:div>
    <w:div w:id="42800032">
      <w:bodyDiv w:val="1"/>
      <w:marLeft w:val="0"/>
      <w:marRight w:val="0"/>
      <w:marTop w:val="0"/>
      <w:marBottom w:val="0"/>
      <w:divBdr>
        <w:top w:val="none" w:sz="0" w:space="0" w:color="auto"/>
        <w:left w:val="none" w:sz="0" w:space="0" w:color="auto"/>
        <w:bottom w:val="none" w:sz="0" w:space="0" w:color="auto"/>
        <w:right w:val="none" w:sz="0" w:space="0" w:color="auto"/>
      </w:divBdr>
    </w:div>
    <w:div w:id="51777297">
      <w:bodyDiv w:val="1"/>
      <w:marLeft w:val="0"/>
      <w:marRight w:val="0"/>
      <w:marTop w:val="0"/>
      <w:marBottom w:val="0"/>
      <w:divBdr>
        <w:top w:val="none" w:sz="0" w:space="0" w:color="auto"/>
        <w:left w:val="none" w:sz="0" w:space="0" w:color="auto"/>
        <w:bottom w:val="none" w:sz="0" w:space="0" w:color="auto"/>
        <w:right w:val="none" w:sz="0" w:space="0" w:color="auto"/>
      </w:divBdr>
    </w:div>
    <w:div w:id="56710702">
      <w:bodyDiv w:val="1"/>
      <w:marLeft w:val="0"/>
      <w:marRight w:val="0"/>
      <w:marTop w:val="0"/>
      <w:marBottom w:val="0"/>
      <w:divBdr>
        <w:top w:val="none" w:sz="0" w:space="0" w:color="auto"/>
        <w:left w:val="none" w:sz="0" w:space="0" w:color="auto"/>
        <w:bottom w:val="none" w:sz="0" w:space="0" w:color="auto"/>
        <w:right w:val="none" w:sz="0" w:space="0" w:color="auto"/>
      </w:divBdr>
    </w:div>
    <w:div w:id="65808417">
      <w:bodyDiv w:val="1"/>
      <w:marLeft w:val="0"/>
      <w:marRight w:val="0"/>
      <w:marTop w:val="0"/>
      <w:marBottom w:val="0"/>
      <w:divBdr>
        <w:top w:val="none" w:sz="0" w:space="0" w:color="auto"/>
        <w:left w:val="none" w:sz="0" w:space="0" w:color="auto"/>
        <w:bottom w:val="none" w:sz="0" w:space="0" w:color="auto"/>
        <w:right w:val="none" w:sz="0" w:space="0" w:color="auto"/>
      </w:divBdr>
    </w:div>
    <w:div w:id="68045679">
      <w:bodyDiv w:val="1"/>
      <w:marLeft w:val="0"/>
      <w:marRight w:val="0"/>
      <w:marTop w:val="0"/>
      <w:marBottom w:val="0"/>
      <w:divBdr>
        <w:top w:val="none" w:sz="0" w:space="0" w:color="auto"/>
        <w:left w:val="none" w:sz="0" w:space="0" w:color="auto"/>
        <w:bottom w:val="none" w:sz="0" w:space="0" w:color="auto"/>
        <w:right w:val="none" w:sz="0" w:space="0" w:color="auto"/>
      </w:divBdr>
    </w:div>
    <w:div w:id="68432991">
      <w:bodyDiv w:val="1"/>
      <w:marLeft w:val="0"/>
      <w:marRight w:val="0"/>
      <w:marTop w:val="0"/>
      <w:marBottom w:val="0"/>
      <w:divBdr>
        <w:top w:val="none" w:sz="0" w:space="0" w:color="auto"/>
        <w:left w:val="none" w:sz="0" w:space="0" w:color="auto"/>
        <w:bottom w:val="none" w:sz="0" w:space="0" w:color="auto"/>
        <w:right w:val="none" w:sz="0" w:space="0" w:color="auto"/>
      </w:divBdr>
    </w:div>
    <w:div w:id="72509765">
      <w:bodyDiv w:val="1"/>
      <w:marLeft w:val="0"/>
      <w:marRight w:val="0"/>
      <w:marTop w:val="0"/>
      <w:marBottom w:val="0"/>
      <w:divBdr>
        <w:top w:val="none" w:sz="0" w:space="0" w:color="auto"/>
        <w:left w:val="none" w:sz="0" w:space="0" w:color="auto"/>
        <w:bottom w:val="none" w:sz="0" w:space="0" w:color="auto"/>
        <w:right w:val="none" w:sz="0" w:space="0" w:color="auto"/>
      </w:divBdr>
      <w:divsChild>
        <w:div w:id="127433832">
          <w:marLeft w:val="0"/>
          <w:marRight w:val="0"/>
          <w:marTop w:val="0"/>
          <w:marBottom w:val="0"/>
          <w:divBdr>
            <w:top w:val="none" w:sz="0" w:space="0" w:color="auto"/>
            <w:left w:val="none" w:sz="0" w:space="0" w:color="auto"/>
            <w:bottom w:val="none" w:sz="0" w:space="0" w:color="auto"/>
            <w:right w:val="none" w:sz="0" w:space="0" w:color="auto"/>
          </w:divBdr>
          <w:divsChild>
            <w:div w:id="2100831101">
              <w:marLeft w:val="0"/>
              <w:marRight w:val="0"/>
              <w:marTop w:val="0"/>
              <w:marBottom w:val="0"/>
              <w:divBdr>
                <w:top w:val="none" w:sz="0" w:space="0" w:color="auto"/>
                <w:left w:val="none" w:sz="0" w:space="0" w:color="auto"/>
                <w:bottom w:val="none" w:sz="0" w:space="0" w:color="auto"/>
                <w:right w:val="none" w:sz="0" w:space="0" w:color="auto"/>
              </w:divBdr>
            </w:div>
          </w:divsChild>
        </w:div>
        <w:div w:id="147749009">
          <w:marLeft w:val="0"/>
          <w:marRight w:val="0"/>
          <w:marTop w:val="0"/>
          <w:marBottom w:val="0"/>
          <w:divBdr>
            <w:top w:val="none" w:sz="0" w:space="0" w:color="auto"/>
            <w:left w:val="none" w:sz="0" w:space="0" w:color="auto"/>
            <w:bottom w:val="none" w:sz="0" w:space="0" w:color="auto"/>
            <w:right w:val="none" w:sz="0" w:space="0" w:color="auto"/>
          </w:divBdr>
          <w:divsChild>
            <w:div w:id="667560549">
              <w:marLeft w:val="0"/>
              <w:marRight w:val="0"/>
              <w:marTop w:val="0"/>
              <w:marBottom w:val="0"/>
              <w:divBdr>
                <w:top w:val="none" w:sz="0" w:space="0" w:color="auto"/>
                <w:left w:val="none" w:sz="0" w:space="0" w:color="auto"/>
                <w:bottom w:val="none" w:sz="0" w:space="0" w:color="auto"/>
                <w:right w:val="none" w:sz="0" w:space="0" w:color="auto"/>
              </w:divBdr>
            </w:div>
          </w:divsChild>
        </w:div>
        <w:div w:id="168178986">
          <w:marLeft w:val="0"/>
          <w:marRight w:val="0"/>
          <w:marTop w:val="0"/>
          <w:marBottom w:val="0"/>
          <w:divBdr>
            <w:top w:val="none" w:sz="0" w:space="0" w:color="auto"/>
            <w:left w:val="none" w:sz="0" w:space="0" w:color="auto"/>
            <w:bottom w:val="none" w:sz="0" w:space="0" w:color="auto"/>
            <w:right w:val="none" w:sz="0" w:space="0" w:color="auto"/>
          </w:divBdr>
          <w:divsChild>
            <w:div w:id="1042484932">
              <w:marLeft w:val="0"/>
              <w:marRight w:val="0"/>
              <w:marTop w:val="0"/>
              <w:marBottom w:val="0"/>
              <w:divBdr>
                <w:top w:val="none" w:sz="0" w:space="0" w:color="auto"/>
                <w:left w:val="none" w:sz="0" w:space="0" w:color="auto"/>
                <w:bottom w:val="none" w:sz="0" w:space="0" w:color="auto"/>
                <w:right w:val="none" w:sz="0" w:space="0" w:color="auto"/>
              </w:divBdr>
            </w:div>
            <w:div w:id="1388912123">
              <w:marLeft w:val="0"/>
              <w:marRight w:val="0"/>
              <w:marTop w:val="0"/>
              <w:marBottom w:val="0"/>
              <w:divBdr>
                <w:top w:val="none" w:sz="0" w:space="0" w:color="auto"/>
                <w:left w:val="none" w:sz="0" w:space="0" w:color="auto"/>
                <w:bottom w:val="none" w:sz="0" w:space="0" w:color="auto"/>
                <w:right w:val="none" w:sz="0" w:space="0" w:color="auto"/>
              </w:divBdr>
            </w:div>
          </w:divsChild>
        </w:div>
        <w:div w:id="193615023">
          <w:marLeft w:val="0"/>
          <w:marRight w:val="0"/>
          <w:marTop w:val="0"/>
          <w:marBottom w:val="0"/>
          <w:divBdr>
            <w:top w:val="none" w:sz="0" w:space="0" w:color="auto"/>
            <w:left w:val="none" w:sz="0" w:space="0" w:color="auto"/>
            <w:bottom w:val="none" w:sz="0" w:space="0" w:color="auto"/>
            <w:right w:val="none" w:sz="0" w:space="0" w:color="auto"/>
          </w:divBdr>
          <w:divsChild>
            <w:div w:id="52119867">
              <w:marLeft w:val="0"/>
              <w:marRight w:val="0"/>
              <w:marTop w:val="0"/>
              <w:marBottom w:val="0"/>
              <w:divBdr>
                <w:top w:val="none" w:sz="0" w:space="0" w:color="auto"/>
                <w:left w:val="none" w:sz="0" w:space="0" w:color="auto"/>
                <w:bottom w:val="none" w:sz="0" w:space="0" w:color="auto"/>
                <w:right w:val="none" w:sz="0" w:space="0" w:color="auto"/>
              </w:divBdr>
            </w:div>
            <w:div w:id="762384061">
              <w:marLeft w:val="0"/>
              <w:marRight w:val="0"/>
              <w:marTop w:val="0"/>
              <w:marBottom w:val="0"/>
              <w:divBdr>
                <w:top w:val="none" w:sz="0" w:space="0" w:color="auto"/>
                <w:left w:val="none" w:sz="0" w:space="0" w:color="auto"/>
                <w:bottom w:val="none" w:sz="0" w:space="0" w:color="auto"/>
                <w:right w:val="none" w:sz="0" w:space="0" w:color="auto"/>
              </w:divBdr>
            </w:div>
            <w:div w:id="2008096450">
              <w:marLeft w:val="0"/>
              <w:marRight w:val="0"/>
              <w:marTop w:val="0"/>
              <w:marBottom w:val="0"/>
              <w:divBdr>
                <w:top w:val="none" w:sz="0" w:space="0" w:color="auto"/>
                <w:left w:val="none" w:sz="0" w:space="0" w:color="auto"/>
                <w:bottom w:val="none" w:sz="0" w:space="0" w:color="auto"/>
                <w:right w:val="none" w:sz="0" w:space="0" w:color="auto"/>
              </w:divBdr>
            </w:div>
            <w:div w:id="2064674777">
              <w:marLeft w:val="0"/>
              <w:marRight w:val="0"/>
              <w:marTop w:val="0"/>
              <w:marBottom w:val="0"/>
              <w:divBdr>
                <w:top w:val="none" w:sz="0" w:space="0" w:color="auto"/>
                <w:left w:val="none" w:sz="0" w:space="0" w:color="auto"/>
                <w:bottom w:val="none" w:sz="0" w:space="0" w:color="auto"/>
                <w:right w:val="none" w:sz="0" w:space="0" w:color="auto"/>
              </w:divBdr>
            </w:div>
          </w:divsChild>
        </w:div>
        <w:div w:id="239558390">
          <w:marLeft w:val="0"/>
          <w:marRight w:val="0"/>
          <w:marTop w:val="0"/>
          <w:marBottom w:val="0"/>
          <w:divBdr>
            <w:top w:val="none" w:sz="0" w:space="0" w:color="auto"/>
            <w:left w:val="none" w:sz="0" w:space="0" w:color="auto"/>
            <w:bottom w:val="none" w:sz="0" w:space="0" w:color="auto"/>
            <w:right w:val="none" w:sz="0" w:space="0" w:color="auto"/>
          </w:divBdr>
          <w:divsChild>
            <w:div w:id="187567542">
              <w:marLeft w:val="0"/>
              <w:marRight w:val="0"/>
              <w:marTop w:val="0"/>
              <w:marBottom w:val="0"/>
              <w:divBdr>
                <w:top w:val="none" w:sz="0" w:space="0" w:color="auto"/>
                <w:left w:val="none" w:sz="0" w:space="0" w:color="auto"/>
                <w:bottom w:val="none" w:sz="0" w:space="0" w:color="auto"/>
                <w:right w:val="none" w:sz="0" w:space="0" w:color="auto"/>
              </w:divBdr>
            </w:div>
            <w:div w:id="672880869">
              <w:marLeft w:val="0"/>
              <w:marRight w:val="0"/>
              <w:marTop w:val="0"/>
              <w:marBottom w:val="0"/>
              <w:divBdr>
                <w:top w:val="none" w:sz="0" w:space="0" w:color="auto"/>
                <w:left w:val="none" w:sz="0" w:space="0" w:color="auto"/>
                <w:bottom w:val="none" w:sz="0" w:space="0" w:color="auto"/>
                <w:right w:val="none" w:sz="0" w:space="0" w:color="auto"/>
              </w:divBdr>
            </w:div>
            <w:div w:id="1743211215">
              <w:marLeft w:val="0"/>
              <w:marRight w:val="0"/>
              <w:marTop w:val="0"/>
              <w:marBottom w:val="0"/>
              <w:divBdr>
                <w:top w:val="none" w:sz="0" w:space="0" w:color="auto"/>
                <w:left w:val="none" w:sz="0" w:space="0" w:color="auto"/>
                <w:bottom w:val="none" w:sz="0" w:space="0" w:color="auto"/>
                <w:right w:val="none" w:sz="0" w:space="0" w:color="auto"/>
              </w:divBdr>
            </w:div>
          </w:divsChild>
        </w:div>
        <w:div w:id="550117877">
          <w:marLeft w:val="0"/>
          <w:marRight w:val="0"/>
          <w:marTop w:val="0"/>
          <w:marBottom w:val="0"/>
          <w:divBdr>
            <w:top w:val="none" w:sz="0" w:space="0" w:color="auto"/>
            <w:left w:val="none" w:sz="0" w:space="0" w:color="auto"/>
            <w:bottom w:val="none" w:sz="0" w:space="0" w:color="auto"/>
            <w:right w:val="none" w:sz="0" w:space="0" w:color="auto"/>
          </w:divBdr>
          <w:divsChild>
            <w:div w:id="493690586">
              <w:marLeft w:val="0"/>
              <w:marRight w:val="0"/>
              <w:marTop w:val="0"/>
              <w:marBottom w:val="0"/>
              <w:divBdr>
                <w:top w:val="none" w:sz="0" w:space="0" w:color="auto"/>
                <w:left w:val="none" w:sz="0" w:space="0" w:color="auto"/>
                <w:bottom w:val="none" w:sz="0" w:space="0" w:color="auto"/>
                <w:right w:val="none" w:sz="0" w:space="0" w:color="auto"/>
              </w:divBdr>
            </w:div>
          </w:divsChild>
        </w:div>
        <w:div w:id="557474654">
          <w:marLeft w:val="0"/>
          <w:marRight w:val="0"/>
          <w:marTop w:val="0"/>
          <w:marBottom w:val="0"/>
          <w:divBdr>
            <w:top w:val="none" w:sz="0" w:space="0" w:color="auto"/>
            <w:left w:val="none" w:sz="0" w:space="0" w:color="auto"/>
            <w:bottom w:val="none" w:sz="0" w:space="0" w:color="auto"/>
            <w:right w:val="none" w:sz="0" w:space="0" w:color="auto"/>
          </w:divBdr>
          <w:divsChild>
            <w:div w:id="399601785">
              <w:marLeft w:val="0"/>
              <w:marRight w:val="0"/>
              <w:marTop w:val="0"/>
              <w:marBottom w:val="0"/>
              <w:divBdr>
                <w:top w:val="none" w:sz="0" w:space="0" w:color="auto"/>
                <w:left w:val="none" w:sz="0" w:space="0" w:color="auto"/>
                <w:bottom w:val="none" w:sz="0" w:space="0" w:color="auto"/>
                <w:right w:val="none" w:sz="0" w:space="0" w:color="auto"/>
              </w:divBdr>
            </w:div>
            <w:div w:id="1807697999">
              <w:marLeft w:val="0"/>
              <w:marRight w:val="0"/>
              <w:marTop w:val="0"/>
              <w:marBottom w:val="0"/>
              <w:divBdr>
                <w:top w:val="none" w:sz="0" w:space="0" w:color="auto"/>
                <w:left w:val="none" w:sz="0" w:space="0" w:color="auto"/>
                <w:bottom w:val="none" w:sz="0" w:space="0" w:color="auto"/>
                <w:right w:val="none" w:sz="0" w:space="0" w:color="auto"/>
              </w:divBdr>
            </w:div>
            <w:div w:id="2080979845">
              <w:marLeft w:val="0"/>
              <w:marRight w:val="0"/>
              <w:marTop w:val="0"/>
              <w:marBottom w:val="0"/>
              <w:divBdr>
                <w:top w:val="none" w:sz="0" w:space="0" w:color="auto"/>
                <w:left w:val="none" w:sz="0" w:space="0" w:color="auto"/>
                <w:bottom w:val="none" w:sz="0" w:space="0" w:color="auto"/>
                <w:right w:val="none" w:sz="0" w:space="0" w:color="auto"/>
              </w:divBdr>
            </w:div>
          </w:divsChild>
        </w:div>
        <w:div w:id="688063706">
          <w:marLeft w:val="0"/>
          <w:marRight w:val="0"/>
          <w:marTop w:val="0"/>
          <w:marBottom w:val="0"/>
          <w:divBdr>
            <w:top w:val="none" w:sz="0" w:space="0" w:color="auto"/>
            <w:left w:val="none" w:sz="0" w:space="0" w:color="auto"/>
            <w:bottom w:val="none" w:sz="0" w:space="0" w:color="auto"/>
            <w:right w:val="none" w:sz="0" w:space="0" w:color="auto"/>
          </w:divBdr>
          <w:divsChild>
            <w:div w:id="1838038758">
              <w:marLeft w:val="0"/>
              <w:marRight w:val="0"/>
              <w:marTop w:val="0"/>
              <w:marBottom w:val="0"/>
              <w:divBdr>
                <w:top w:val="none" w:sz="0" w:space="0" w:color="auto"/>
                <w:left w:val="none" w:sz="0" w:space="0" w:color="auto"/>
                <w:bottom w:val="none" w:sz="0" w:space="0" w:color="auto"/>
                <w:right w:val="none" w:sz="0" w:space="0" w:color="auto"/>
              </w:divBdr>
            </w:div>
          </w:divsChild>
        </w:div>
        <w:div w:id="813641560">
          <w:marLeft w:val="0"/>
          <w:marRight w:val="0"/>
          <w:marTop w:val="0"/>
          <w:marBottom w:val="0"/>
          <w:divBdr>
            <w:top w:val="none" w:sz="0" w:space="0" w:color="auto"/>
            <w:left w:val="none" w:sz="0" w:space="0" w:color="auto"/>
            <w:bottom w:val="none" w:sz="0" w:space="0" w:color="auto"/>
            <w:right w:val="none" w:sz="0" w:space="0" w:color="auto"/>
          </w:divBdr>
          <w:divsChild>
            <w:div w:id="676805731">
              <w:marLeft w:val="0"/>
              <w:marRight w:val="0"/>
              <w:marTop w:val="0"/>
              <w:marBottom w:val="0"/>
              <w:divBdr>
                <w:top w:val="none" w:sz="0" w:space="0" w:color="auto"/>
                <w:left w:val="none" w:sz="0" w:space="0" w:color="auto"/>
                <w:bottom w:val="none" w:sz="0" w:space="0" w:color="auto"/>
                <w:right w:val="none" w:sz="0" w:space="0" w:color="auto"/>
              </w:divBdr>
            </w:div>
            <w:div w:id="1261179977">
              <w:marLeft w:val="0"/>
              <w:marRight w:val="0"/>
              <w:marTop w:val="0"/>
              <w:marBottom w:val="0"/>
              <w:divBdr>
                <w:top w:val="none" w:sz="0" w:space="0" w:color="auto"/>
                <w:left w:val="none" w:sz="0" w:space="0" w:color="auto"/>
                <w:bottom w:val="none" w:sz="0" w:space="0" w:color="auto"/>
                <w:right w:val="none" w:sz="0" w:space="0" w:color="auto"/>
              </w:divBdr>
            </w:div>
          </w:divsChild>
        </w:div>
        <w:div w:id="878708671">
          <w:marLeft w:val="0"/>
          <w:marRight w:val="0"/>
          <w:marTop w:val="0"/>
          <w:marBottom w:val="0"/>
          <w:divBdr>
            <w:top w:val="none" w:sz="0" w:space="0" w:color="auto"/>
            <w:left w:val="none" w:sz="0" w:space="0" w:color="auto"/>
            <w:bottom w:val="none" w:sz="0" w:space="0" w:color="auto"/>
            <w:right w:val="none" w:sz="0" w:space="0" w:color="auto"/>
          </w:divBdr>
          <w:divsChild>
            <w:div w:id="1446655124">
              <w:marLeft w:val="0"/>
              <w:marRight w:val="0"/>
              <w:marTop w:val="0"/>
              <w:marBottom w:val="0"/>
              <w:divBdr>
                <w:top w:val="none" w:sz="0" w:space="0" w:color="auto"/>
                <w:left w:val="none" w:sz="0" w:space="0" w:color="auto"/>
                <w:bottom w:val="none" w:sz="0" w:space="0" w:color="auto"/>
                <w:right w:val="none" w:sz="0" w:space="0" w:color="auto"/>
              </w:divBdr>
            </w:div>
          </w:divsChild>
        </w:div>
        <w:div w:id="934051609">
          <w:marLeft w:val="0"/>
          <w:marRight w:val="0"/>
          <w:marTop w:val="0"/>
          <w:marBottom w:val="0"/>
          <w:divBdr>
            <w:top w:val="none" w:sz="0" w:space="0" w:color="auto"/>
            <w:left w:val="none" w:sz="0" w:space="0" w:color="auto"/>
            <w:bottom w:val="none" w:sz="0" w:space="0" w:color="auto"/>
            <w:right w:val="none" w:sz="0" w:space="0" w:color="auto"/>
          </w:divBdr>
          <w:divsChild>
            <w:div w:id="2025356932">
              <w:marLeft w:val="0"/>
              <w:marRight w:val="0"/>
              <w:marTop w:val="0"/>
              <w:marBottom w:val="0"/>
              <w:divBdr>
                <w:top w:val="none" w:sz="0" w:space="0" w:color="auto"/>
                <w:left w:val="none" w:sz="0" w:space="0" w:color="auto"/>
                <w:bottom w:val="none" w:sz="0" w:space="0" w:color="auto"/>
                <w:right w:val="none" w:sz="0" w:space="0" w:color="auto"/>
              </w:divBdr>
            </w:div>
          </w:divsChild>
        </w:div>
        <w:div w:id="997031507">
          <w:marLeft w:val="0"/>
          <w:marRight w:val="0"/>
          <w:marTop w:val="0"/>
          <w:marBottom w:val="0"/>
          <w:divBdr>
            <w:top w:val="none" w:sz="0" w:space="0" w:color="auto"/>
            <w:left w:val="none" w:sz="0" w:space="0" w:color="auto"/>
            <w:bottom w:val="none" w:sz="0" w:space="0" w:color="auto"/>
            <w:right w:val="none" w:sz="0" w:space="0" w:color="auto"/>
          </w:divBdr>
          <w:divsChild>
            <w:div w:id="2061198678">
              <w:marLeft w:val="0"/>
              <w:marRight w:val="0"/>
              <w:marTop w:val="0"/>
              <w:marBottom w:val="0"/>
              <w:divBdr>
                <w:top w:val="none" w:sz="0" w:space="0" w:color="auto"/>
                <w:left w:val="none" w:sz="0" w:space="0" w:color="auto"/>
                <w:bottom w:val="none" w:sz="0" w:space="0" w:color="auto"/>
                <w:right w:val="none" w:sz="0" w:space="0" w:color="auto"/>
              </w:divBdr>
            </w:div>
          </w:divsChild>
        </w:div>
        <w:div w:id="1109080636">
          <w:marLeft w:val="0"/>
          <w:marRight w:val="0"/>
          <w:marTop w:val="0"/>
          <w:marBottom w:val="0"/>
          <w:divBdr>
            <w:top w:val="none" w:sz="0" w:space="0" w:color="auto"/>
            <w:left w:val="none" w:sz="0" w:space="0" w:color="auto"/>
            <w:bottom w:val="none" w:sz="0" w:space="0" w:color="auto"/>
            <w:right w:val="none" w:sz="0" w:space="0" w:color="auto"/>
          </w:divBdr>
          <w:divsChild>
            <w:div w:id="108203444">
              <w:marLeft w:val="0"/>
              <w:marRight w:val="0"/>
              <w:marTop w:val="0"/>
              <w:marBottom w:val="0"/>
              <w:divBdr>
                <w:top w:val="none" w:sz="0" w:space="0" w:color="auto"/>
                <w:left w:val="none" w:sz="0" w:space="0" w:color="auto"/>
                <w:bottom w:val="none" w:sz="0" w:space="0" w:color="auto"/>
                <w:right w:val="none" w:sz="0" w:space="0" w:color="auto"/>
              </w:divBdr>
            </w:div>
          </w:divsChild>
        </w:div>
        <w:div w:id="1138956925">
          <w:marLeft w:val="0"/>
          <w:marRight w:val="0"/>
          <w:marTop w:val="0"/>
          <w:marBottom w:val="0"/>
          <w:divBdr>
            <w:top w:val="none" w:sz="0" w:space="0" w:color="auto"/>
            <w:left w:val="none" w:sz="0" w:space="0" w:color="auto"/>
            <w:bottom w:val="none" w:sz="0" w:space="0" w:color="auto"/>
            <w:right w:val="none" w:sz="0" w:space="0" w:color="auto"/>
          </w:divBdr>
          <w:divsChild>
            <w:div w:id="1966962311">
              <w:marLeft w:val="0"/>
              <w:marRight w:val="0"/>
              <w:marTop w:val="0"/>
              <w:marBottom w:val="0"/>
              <w:divBdr>
                <w:top w:val="none" w:sz="0" w:space="0" w:color="auto"/>
                <w:left w:val="none" w:sz="0" w:space="0" w:color="auto"/>
                <w:bottom w:val="none" w:sz="0" w:space="0" w:color="auto"/>
                <w:right w:val="none" w:sz="0" w:space="0" w:color="auto"/>
              </w:divBdr>
            </w:div>
          </w:divsChild>
        </w:div>
        <w:div w:id="1671830606">
          <w:marLeft w:val="0"/>
          <w:marRight w:val="0"/>
          <w:marTop w:val="0"/>
          <w:marBottom w:val="0"/>
          <w:divBdr>
            <w:top w:val="none" w:sz="0" w:space="0" w:color="auto"/>
            <w:left w:val="none" w:sz="0" w:space="0" w:color="auto"/>
            <w:bottom w:val="none" w:sz="0" w:space="0" w:color="auto"/>
            <w:right w:val="none" w:sz="0" w:space="0" w:color="auto"/>
          </w:divBdr>
          <w:divsChild>
            <w:div w:id="742726732">
              <w:marLeft w:val="0"/>
              <w:marRight w:val="0"/>
              <w:marTop w:val="0"/>
              <w:marBottom w:val="0"/>
              <w:divBdr>
                <w:top w:val="none" w:sz="0" w:space="0" w:color="auto"/>
                <w:left w:val="none" w:sz="0" w:space="0" w:color="auto"/>
                <w:bottom w:val="none" w:sz="0" w:space="0" w:color="auto"/>
                <w:right w:val="none" w:sz="0" w:space="0" w:color="auto"/>
              </w:divBdr>
            </w:div>
            <w:div w:id="1784962524">
              <w:marLeft w:val="0"/>
              <w:marRight w:val="0"/>
              <w:marTop w:val="0"/>
              <w:marBottom w:val="0"/>
              <w:divBdr>
                <w:top w:val="none" w:sz="0" w:space="0" w:color="auto"/>
                <w:left w:val="none" w:sz="0" w:space="0" w:color="auto"/>
                <w:bottom w:val="none" w:sz="0" w:space="0" w:color="auto"/>
                <w:right w:val="none" w:sz="0" w:space="0" w:color="auto"/>
              </w:divBdr>
            </w:div>
          </w:divsChild>
        </w:div>
        <w:div w:id="1743405243">
          <w:marLeft w:val="0"/>
          <w:marRight w:val="0"/>
          <w:marTop w:val="0"/>
          <w:marBottom w:val="0"/>
          <w:divBdr>
            <w:top w:val="none" w:sz="0" w:space="0" w:color="auto"/>
            <w:left w:val="none" w:sz="0" w:space="0" w:color="auto"/>
            <w:bottom w:val="none" w:sz="0" w:space="0" w:color="auto"/>
            <w:right w:val="none" w:sz="0" w:space="0" w:color="auto"/>
          </w:divBdr>
          <w:divsChild>
            <w:div w:id="1584797186">
              <w:marLeft w:val="0"/>
              <w:marRight w:val="0"/>
              <w:marTop w:val="0"/>
              <w:marBottom w:val="0"/>
              <w:divBdr>
                <w:top w:val="none" w:sz="0" w:space="0" w:color="auto"/>
                <w:left w:val="none" w:sz="0" w:space="0" w:color="auto"/>
                <w:bottom w:val="none" w:sz="0" w:space="0" w:color="auto"/>
                <w:right w:val="none" w:sz="0" w:space="0" w:color="auto"/>
              </w:divBdr>
            </w:div>
          </w:divsChild>
        </w:div>
        <w:div w:id="1757438516">
          <w:marLeft w:val="0"/>
          <w:marRight w:val="0"/>
          <w:marTop w:val="0"/>
          <w:marBottom w:val="0"/>
          <w:divBdr>
            <w:top w:val="none" w:sz="0" w:space="0" w:color="auto"/>
            <w:left w:val="none" w:sz="0" w:space="0" w:color="auto"/>
            <w:bottom w:val="none" w:sz="0" w:space="0" w:color="auto"/>
            <w:right w:val="none" w:sz="0" w:space="0" w:color="auto"/>
          </w:divBdr>
          <w:divsChild>
            <w:div w:id="564995271">
              <w:marLeft w:val="0"/>
              <w:marRight w:val="0"/>
              <w:marTop w:val="0"/>
              <w:marBottom w:val="0"/>
              <w:divBdr>
                <w:top w:val="none" w:sz="0" w:space="0" w:color="auto"/>
                <w:left w:val="none" w:sz="0" w:space="0" w:color="auto"/>
                <w:bottom w:val="none" w:sz="0" w:space="0" w:color="auto"/>
                <w:right w:val="none" w:sz="0" w:space="0" w:color="auto"/>
              </w:divBdr>
            </w:div>
            <w:div w:id="774522819">
              <w:marLeft w:val="0"/>
              <w:marRight w:val="0"/>
              <w:marTop w:val="0"/>
              <w:marBottom w:val="0"/>
              <w:divBdr>
                <w:top w:val="none" w:sz="0" w:space="0" w:color="auto"/>
                <w:left w:val="none" w:sz="0" w:space="0" w:color="auto"/>
                <w:bottom w:val="none" w:sz="0" w:space="0" w:color="auto"/>
                <w:right w:val="none" w:sz="0" w:space="0" w:color="auto"/>
              </w:divBdr>
            </w:div>
            <w:div w:id="848108355">
              <w:marLeft w:val="0"/>
              <w:marRight w:val="0"/>
              <w:marTop w:val="0"/>
              <w:marBottom w:val="0"/>
              <w:divBdr>
                <w:top w:val="none" w:sz="0" w:space="0" w:color="auto"/>
                <w:left w:val="none" w:sz="0" w:space="0" w:color="auto"/>
                <w:bottom w:val="none" w:sz="0" w:space="0" w:color="auto"/>
                <w:right w:val="none" w:sz="0" w:space="0" w:color="auto"/>
              </w:divBdr>
            </w:div>
            <w:div w:id="1331060484">
              <w:marLeft w:val="0"/>
              <w:marRight w:val="0"/>
              <w:marTop w:val="0"/>
              <w:marBottom w:val="0"/>
              <w:divBdr>
                <w:top w:val="none" w:sz="0" w:space="0" w:color="auto"/>
                <w:left w:val="none" w:sz="0" w:space="0" w:color="auto"/>
                <w:bottom w:val="none" w:sz="0" w:space="0" w:color="auto"/>
                <w:right w:val="none" w:sz="0" w:space="0" w:color="auto"/>
              </w:divBdr>
            </w:div>
            <w:div w:id="1402211337">
              <w:marLeft w:val="0"/>
              <w:marRight w:val="0"/>
              <w:marTop w:val="0"/>
              <w:marBottom w:val="0"/>
              <w:divBdr>
                <w:top w:val="none" w:sz="0" w:space="0" w:color="auto"/>
                <w:left w:val="none" w:sz="0" w:space="0" w:color="auto"/>
                <w:bottom w:val="none" w:sz="0" w:space="0" w:color="auto"/>
                <w:right w:val="none" w:sz="0" w:space="0" w:color="auto"/>
              </w:divBdr>
            </w:div>
            <w:div w:id="1862284073">
              <w:marLeft w:val="0"/>
              <w:marRight w:val="0"/>
              <w:marTop w:val="0"/>
              <w:marBottom w:val="0"/>
              <w:divBdr>
                <w:top w:val="none" w:sz="0" w:space="0" w:color="auto"/>
                <w:left w:val="none" w:sz="0" w:space="0" w:color="auto"/>
                <w:bottom w:val="none" w:sz="0" w:space="0" w:color="auto"/>
                <w:right w:val="none" w:sz="0" w:space="0" w:color="auto"/>
              </w:divBdr>
            </w:div>
            <w:div w:id="1981231071">
              <w:marLeft w:val="0"/>
              <w:marRight w:val="0"/>
              <w:marTop w:val="0"/>
              <w:marBottom w:val="0"/>
              <w:divBdr>
                <w:top w:val="none" w:sz="0" w:space="0" w:color="auto"/>
                <w:left w:val="none" w:sz="0" w:space="0" w:color="auto"/>
                <w:bottom w:val="none" w:sz="0" w:space="0" w:color="auto"/>
                <w:right w:val="none" w:sz="0" w:space="0" w:color="auto"/>
              </w:divBdr>
            </w:div>
          </w:divsChild>
        </w:div>
        <w:div w:id="1943682620">
          <w:marLeft w:val="0"/>
          <w:marRight w:val="0"/>
          <w:marTop w:val="0"/>
          <w:marBottom w:val="0"/>
          <w:divBdr>
            <w:top w:val="none" w:sz="0" w:space="0" w:color="auto"/>
            <w:left w:val="none" w:sz="0" w:space="0" w:color="auto"/>
            <w:bottom w:val="none" w:sz="0" w:space="0" w:color="auto"/>
            <w:right w:val="none" w:sz="0" w:space="0" w:color="auto"/>
          </w:divBdr>
          <w:divsChild>
            <w:div w:id="14389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0659">
      <w:bodyDiv w:val="1"/>
      <w:marLeft w:val="0"/>
      <w:marRight w:val="0"/>
      <w:marTop w:val="0"/>
      <w:marBottom w:val="0"/>
      <w:divBdr>
        <w:top w:val="none" w:sz="0" w:space="0" w:color="auto"/>
        <w:left w:val="none" w:sz="0" w:space="0" w:color="auto"/>
        <w:bottom w:val="none" w:sz="0" w:space="0" w:color="auto"/>
        <w:right w:val="none" w:sz="0" w:space="0" w:color="auto"/>
      </w:divBdr>
    </w:div>
    <w:div w:id="79253649">
      <w:bodyDiv w:val="1"/>
      <w:marLeft w:val="0"/>
      <w:marRight w:val="0"/>
      <w:marTop w:val="0"/>
      <w:marBottom w:val="0"/>
      <w:divBdr>
        <w:top w:val="none" w:sz="0" w:space="0" w:color="auto"/>
        <w:left w:val="none" w:sz="0" w:space="0" w:color="auto"/>
        <w:bottom w:val="none" w:sz="0" w:space="0" w:color="auto"/>
        <w:right w:val="none" w:sz="0" w:space="0" w:color="auto"/>
      </w:divBdr>
      <w:divsChild>
        <w:div w:id="1582255763">
          <w:marLeft w:val="0"/>
          <w:marRight w:val="0"/>
          <w:marTop w:val="0"/>
          <w:marBottom w:val="0"/>
          <w:divBdr>
            <w:top w:val="none" w:sz="0" w:space="0" w:color="auto"/>
            <w:left w:val="none" w:sz="0" w:space="0" w:color="auto"/>
            <w:bottom w:val="none" w:sz="0" w:space="0" w:color="auto"/>
            <w:right w:val="none" w:sz="0" w:space="0" w:color="auto"/>
          </w:divBdr>
        </w:div>
      </w:divsChild>
    </w:div>
    <w:div w:id="83502545">
      <w:bodyDiv w:val="1"/>
      <w:marLeft w:val="0"/>
      <w:marRight w:val="0"/>
      <w:marTop w:val="0"/>
      <w:marBottom w:val="0"/>
      <w:divBdr>
        <w:top w:val="none" w:sz="0" w:space="0" w:color="auto"/>
        <w:left w:val="none" w:sz="0" w:space="0" w:color="auto"/>
        <w:bottom w:val="none" w:sz="0" w:space="0" w:color="auto"/>
        <w:right w:val="none" w:sz="0" w:space="0" w:color="auto"/>
      </w:divBdr>
    </w:div>
    <w:div w:id="84888610">
      <w:bodyDiv w:val="1"/>
      <w:marLeft w:val="0"/>
      <w:marRight w:val="0"/>
      <w:marTop w:val="0"/>
      <w:marBottom w:val="0"/>
      <w:divBdr>
        <w:top w:val="none" w:sz="0" w:space="0" w:color="auto"/>
        <w:left w:val="none" w:sz="0" w:space="0" w:color="auto"/>
        <w:bottom w:val="none" w:sz="0" w:space="0" w:color="auto"/>
        <w:right w:val="none" w:sz="0" w:space="0" w:color="auto"/>
      </w:divBdr>
    </w:div>
    <w:div w:id="101153281">
      <w:bodyDiv w:val="1"/>
      <w:marLeft w:val="0"/>
      <w:marRight w:val="0"/>
      <w:marTop w:val="0"/>
      <w:marBottom w:val="0"/>
      <w:divBdr>
        <w:top w:val="none" w:sz="0" w:space="0" w:color="auto"/>
        <w:left w:val="none" w:sz="0" w:space="0" w:color="auto"/>
        <w:bottom w:val="none" w:sz="0" w:space="0" w:color="auto"/>
        <w:right w:val="none" w:sz="0" w:space="0" w:color="auto"/>
      </w:divBdr>
    </w:div>
    <w:div w:id="107163153">
      <w:bodyDiv w:val="1"/>
      <w:marLeft w:val="0"/>
      <w:marRight w:val="0"/>
      <w:marTop w:val="0"/>
      <w:marBottom w:val="0"/>
      <w:divBdr>
        <w:top w:val="none" w:sz="0" w:space="0" w:color="auto"/>
        <w:left w:val="none" w:sz="0" w:space="0" w:color="auto"/>
        <w:bottom w:val="none" w:sz="0" w:space="0" w:color="auto"/>
        <w:right w:val="none" w:sz="0" w:space="0" w:color="auto"/>
      </w:divBdr>
    </w:div>
    <w:div w:id="107552648">
      <w:bodyDiv w:val="1"/>
      <w:marLeft w:val="0"/>
      <w:marRight w:val="0"/>
      <w:marTop w:val="0"/>
      <w:marBottom w:val="0"/>
      <w:divBdr>
        <w:top w:val="none" w:sz="0" w:space="0" w:color="auto"/>
        <w:left w:val="none" w:sz="0" w:space="0" w:color="auto"/>
        <w:bottom w:val="none" w:sz="0" w:space="0" w:color="auto"/>
        <w:right w:val="none" w:sz="0" w:space="0" w:color="auto"/>
      </w:divBdr>
    </w:div>
    <w:div w:id="111245220">
      <w:bodyDiv w:val="1"/>
      <w:marLeft w:val="0"/>
      <w:marRight w:val="0"/>
      <w:marTop w:val="0"/>
      <w:marBottom w:val="0"/>
      <w:divBdr>
        <w:top w:val="none" w:sz="0" w:space="0" w:color="auto"/>
        <w:left w:val="none" w:sz="0" w:space="0" w:color="auto"/>
        <w:bottom w:val="none" w:sz="0" w:space="0" w:color="auto"/>
        <w:right w:val="none" w:sz="0" w:space="0" w:color="auto"/>
      </w:divBdr>
    </w:div>
    <w:div w:id="116335741">
      <w:bodyDiv w:val="1"/>
      <w:marLeft w:val="0"/>
      <w:marRight w:val="0"/>
      <w:marTop w:val="0"/>
      <w:marBottom w:val="0"/>
      <w:divBdr>
        <w:top w:val="none" w:sz="0" w:space="0" w:color="auto"/>
        <w:left w:val="none" w:sz="0" w:space="0" w:color="auto"/>
        <w:bottom w:val="none" w:sz="0" w:space="0" w:color="auto"/>
        <w:right w:val="none" w:sz="0" w:space="0" w:color="auto"/>
      </w:divBdr>
    </w:div>
    <w:div w:id="122042640">
      <w:bodyDiv w:val="1"/>
      <w:marLeft w:val="0"/>
      <w:marRight w:val="0"/>
      <w:marTop w:val="0"/>
      <w:marBottom w:val="0"/>
      <w:divBdr>
        <w:top w:val="none" w:sz="0" w:space="0" w:color="auto"/>
        <w:left w:val="none" w:sz="0" w:space="0" w:color="auto"/>
        <w:bottom w:val="none" w:sz="0" w:space="0" w:color="auto"/>
        <w:right w:val="none" w:sz="0" w:space="0" w:color="auto"/>
      </w:divBdr>
    </w:div>
    <w:div w:id="126515466">
      <w:bodyDiv w:val="1"/>
      <w:marLeft w:val="0"/>
      <w:marRight w:val="0"/>
      <w:marTop w:val="0"/>
      <w:marBottom w:val="0"/>
      <w:divBdr>
        <w:top w:val="none" w:sz="0" w:space="0" w:color="auto"/>
        <w:left w:val="none" w:sz="0" w:space="0" w:color="auto"/>
        <w:bottom w:val="none" w:sz="0" w:space="0" w:color="auto"/>
        <w:right w:val="none" w:sz="0" w:space="0" w:color="auto"/>
      </w:divBdr>
    </w:div>
    <w:div w:id="130753143">
      <w:bodyDiv w:val="1"/>
      <w:marLeft w:val="0"/>
      <w:marRight w:val="0"/>
      <w:marTop w:val="0"/>
      <w:marBottom w:val="0"/>
      <w:divBdr>
        <w:top w:val="none" w:sz="0" w:space="0" w:color="auto"/>
        <w:left w:val="none" w:sz="0" w:space="0" w:color="auto"/>
        <w:bottom w:val="none" w:sz="0" w:space="0" w:color="auto"/>
        <w:right w:val="none" w:sz="0" w:space="0" w:color="auto"/>
      </w:divBdr>
    </w:div>
    <w:div w:id="132451379">
      <w:bodyDiv w:val="1"/>
      <w:marLeft w:val="0"/>
      <w:marRight w:val="0"/>
      <w:marTop w:val="0"/>
      <w:marBottom w:val="0"/>
      <w:divBdr>
        <w:top w:val="none" w:sz="0" w:space="0" w:color="auto"/>
        <w:left w:val="none" w:sz="0" w:space="0" w:color="auto"/>
        <w:bottom w:val="none" w:sz="0" w:space="0" w:color="auto"/>
        <w:right w:val="none" w:sz="0" w:space="0" w:color="auto"/>
      </w:divBdr>
    </w:div>
    <w:div w:id="140003988">
      <w:bodyDiv w:val="1"/>
      <w:marLeft w:val="0"/>
      <w:marRight w:val="0"/>
      <w:marTop w:val="0"/>
      <w:marBottom w:val="0"/>
      <w:divBdr>
        <w:top w:val="none" w:sz="0" w:space="0" w:color="auto"/>
        <w:left w:val="none" w:sz="0" w:space="0" w:color="auto"/>
        <w:bottom w:val="none" w:sz="0" w:space="0" w:color="auto"/>
        <w:right w:val="none" w:sz="0" w:space="0" w:color="auto"/>
      </w:divBdr>
    </w:div>
    <w:div w:id="140512261">
      <w:bodyDiv w:val="1"/>
      <w:marLeft w:val="0"/>
      <w:marRight w:val="0"/>
      <w:marTop w:val="0"/>
      <w:marBottom w:val="0"/>
      <w:divBdr>
        <w:top w:val="none" w:sz="0" w:space="0" w:color="auto"/>
        <w:left w:val="none" w:sz="0" w:space="0" w:color="auto"/>
        <w:bottom w:val="none" w:sz="0" w:space="0" w:color="auto"/>
        <w:right w:val="none" w:sz="0" w:space="0" w:color="auto"/>
      </w:divBdr>
    </w:div>
    <w:div w:id="146678257">
      <w:bodyDiv w:val="1"/>
      <w:marLeft w:val="0"/>
      <w:marRight w:val="0"/>
      <w:marTop w:val="0"/>
      <w:marBottom w:val="0"/>
      <w:divBdr>
        <w:top w:val="none" w:sz="0" w:space="0" w:color="auto"/>
        <w:left w:val="none" w:sz="0" w:space="0" w:color="auto"/>
        <w:bottom w:val="none" w:sz="0" w:space="0" w:color="auto"/>
        <w:right w:val="none" w:sz="0" w:space="0" w:color="auto"/>
      </w:divBdr>
    </w:div>
    <w:div w:id="147550897">
      <w:bodyDiv w:val="1"/>
      <w:marLeft w:val="0"/>
      <w:marRight w:val="0"/>
      <w:marTop w:val="0"/>
      <w:marBottom w:val="0"/>
      <w:divBdr>
        <w:top w:val="none" w:sz="0" w:space="0" w:color="auto"/>
        <w:left w:val="none" w:sz="0" w:space="0" w:color="auto"/>
        <w:bottom w:val="none" w:sz="0" w:space="0" w:color="auto"/>
        <w:right w:val="none" w:sz="0" w:space="0" w:color="auto"/>
      </w:divBdr>
    </w:div>
    <w:div w:id="150682143">
      <w:bodyDiv w:val="1"/>
      <w:marLeft w:val="0"/>
      <w:marRight w:val="0"/>
      <w:marTop w:val="0"/>
      <w:marBottom w:val="0"/>
      <w:divBdr>
        <w:top w:val="none" w:sz="0" w:space="0" w:color="auto"/>
        <w:left w:val="none" w:sz="0" w:space="0" w:color="auto"/>
        <w:bottom w:val="none" w:sz="0" w:space="0" w:color="auto"/>
        <w:right w:val="none" w:sz="0" w:space="0" w:color="auto"/>
      </w:divBdr>
    </w:div>
    <w:div w:id="150996298">
      <w:bodyDiv w:val="1"/>
      <w:marLeft w:val="0"/>
      <w:marRight w:val="0"/>
      <w:marTop w:val="0"/>
      <w:marBottom w:val="0"/>
      <w:divBdr>
        <w:top w:val="none" w:sz="0" w:space="0" w:color="auto"/>
        <w:left w:val="none" w:sz="0" w:space="0" w:color="auto"/>
        <w:bottom w:val="none" w:sz="0" w:space="0" w:color="auto"/>
        <w:right w:val="none" w:sz="0" w:space="0" w:color="auto"/>
      </w:divBdr>
    </w:div>
    <w:div w:id="153768577">
      <w:bodyDiv w:val="1"/>
      <w:marLeft w:val="0"/>
      <w:marRight w:val="0"/>
      <w:marTop w:val="0"/>
      <w:marBottom w:val="0"/>
      <w:divBdr>
        <w:top w:val="none" w:sz="0" w:space="0" w:color="auto"/>
        <w:left w:val="none" w:sz="0" w:space="0" w:color="auto"/>
        <w:bottom w:val="none" w:sz="0" w:space="0" w:color="auto"/>
        <w:right w:val="none" w:sz="0" w:space="0" w:color="auto"/>
      </w:divBdr>
    </w:div>
    <w:div w:id="155844695">
      <w:bodyDiv w:val="1"/>
      <w:marLeft w:val="0"/>
      <w:marRight w:val="0"/>
      <w:marTop w:val="0"/>
      <w:marBottom w:val="0"/>
      <w:divBdr>
        <w:top w:val="none" w:sz="0" w:space="0" w:color="auto"/>
        <w:left w:val="none" w:sz="0" w:space="0" w:color="auto"/>
        <w:bottom w:val="none" w:sz="0" w:space="0" w:color="auto"/>
        <w:right w:val="none" w:sz="0" w:space="0" w:color="auto"/>
      </w:divBdr>
    </w:div>
    <w:div w:id="157041540">
      <w:bodyDiv w:val="1"/>
      <w:marLeft w:val="0"/>
      <w:marRight w:val="0"/>
      <w:marTop w:val="0"/>
      <w:marBottom w:val="0"/>
      <w:divBdr>
        <w:top w:val="none" w:sz="0" w:space="0" w:color="auto"/>
        <w:left w:val="none" w:sz="0" w:space="0" w:color="auto"/>
        <w:bottom w:val="none" w:sz="0" w:space="0" w:color="auto"/>
        <w:right w:val="none" w:sz="0" w:space="0" w:color="auto"/>
      </w:divBdr>
    </w:div>
    <w:div w:id="161162502">
      <w:bodyDiv w:val="1"/>
      <w:marLeft w:val="0"/>
      <w:marRight w:val="0"/>
      <w:marTop w:val="0"/>
      <w:marBottom w:val="0"/>
      <w:divBdr>
        <w:top w:val="none" w:sz="0" w:space="0" w:color="auto"/>
        <w:left w:val="none" w:sz="0" w:space="0" w:color="auto"/>
        <w:bottom w:val="none" w:sz="0" w:space="0" w:color="auto"/>
        <w:right w:val="none" w:sz="0" w:space="0" w:color="auto"/>
      </w:divBdr>
    </w:div>
    <w:div w:id="163396477">
      <w:bodyDiv w:val="1"/>
      <w:marLeft w:val="0"/>
      <w:marRight w:val="0"/>
      <w:marTop w:val="0"/>
      <w:marBottom w:val="0"/>
      <w:divBdr>
        <w:top w:val="none" w:sz="0" w:space="0" w:color="auto"/>
        <w:left w:val="none" w:sz="0" w:space="0" w:color="auto"/>
        <w:bottom w:val="none" w:sz="0" w:space="0" w:color="auto"/>
        <w:right w:val="none" w:sz="0" w:space="0" w:color="auto"/>
      </w:divBdr>
    </w:div>
    <w:div w:id="163857247">
      <w:bodyDiv w:val="1"/>
      <w:marLeft w:val="0"/>
      <w:marRight w:val="0"/>
      <w:marTop w:val="0"/>
      <w:marBottom w:val="0"/>
      <w:divBdr>
        <w:top w:val="none" w:sz="0" w:space="0" w:color="auto"/>
        <w:left w:val="none" w:sz="0" w:space="0" w:color="auto"/>
        <w:bottom w:val="none" w:sz="0" w:space="0" w:color="auto"/>
        <w:right w:val="none" w:sz="0" w:space="0" w:color="auto"/>
      </w:divBdr>
    </w:div>
    <w:div w:id="164631912">
      <w:bodyDiv w:val="1"/>
      <w:marLeft w:val="0"/>
      <w:marRight w:val="0"/>
      <w:marTop w:val="0"/>
      <w:marBottom w:val="0"/>
      <w:divBdr>
        <w:top w:val="none" w:sz="0" w:space="0" w:color="auto"/>
        <w:left w:val="none" w:sz="0" w:space="0" w:color="auto"/>
        <w:bottom w:val="none" w:sz="0" w:space="0" w:color="auto"/>
        <w:right w:val="none" w:sz="0" w:space="0" w:color="auto"/>
      </w:divBdr>
    </w:div>
    <w:div w:id="166211350">
      <w:bodyDiv w:val="1"/>
      <w:marLeft w:val="0"/>
      <w:marRight w:val="0"/>
      <w:marTop w:val="0"/>
      <w:marBottom w:val="0"/>
      <w:divBdr>
        <w:top w:val="none" w:sz="0" w:space="0" w:color="auto"/>
        <w:left w:val="none" w:sz="0" w:space="0" w:color="auto"/>
        <w:bottom w:val="none" w:sz="0" w:space="0" w:color="auto"/>
        <w:right w:val="none" w:sz="0" w:space="0" w:color="auto"/>
      </w:divBdr>
    </w:div>
    <w:div w:id="167984255">
      <w:bodyDiv w:val="1"/>
      <w:marLeft w:val="0"/>
      <w:marRight w:val="0"/>
      <w:marTop w:val="0"/>
      <w:marBottom w:val="0"/>
      <w:divBdr>
        <w:top w:val="none" w:sz="0" w:space="0" w:color="auto"/>
        <w:left w:val="none" w:sz="0" w:space="0" w:color="auto"/>
        <w:bottom w:val="none" w:sz="0" w:space="0" w:color="auto"/>
        <w:right w:val="none" w:sz="0" w:space="0" w:color="auto"/>
      </w:divBdr>
    </w:div>
    <w:div w:id="169683467">
      <w:bodyDiv w:val="1"/>
      <w:marLeft w:val="0"/>
      <w:marRight w:val="0"/>
      <w:marTop w:val="0"/>
      <w:marBottom w:val="0"/>
      <w:divBdr>
        <w:top w:val="none" w:sz="0" w:space="0" w:color="auto"/>
        <w:left w:val="none" w:sz="0" w:space="0" w:color="auto"/>
        <w:bottom w:val="none" w:sz="0" w:space="0" w:color="auto"/>
        <w:right w:val="none" w:sz="0" w:space="0" w:color="auto"/>
      </w:divBdr>
    </w:div>
    <w:div w:id="178979994">
      <w:bodyDiv w:val="1"/>
      <w:marLeft w:val="0"/>
      <w:marRight w:val="0"/>
      <w:marTop w:val="0"/>
      <w:marBottom w:val="0"/>
      <w:divBdr>
        <w:top w:val="none" w:sz="0" w:space="0" w:color="auto"/>
        <w:left w:val="none" w:sz="0" w:space="0" w:color="auto"/>
        <w:bottom w:val="none" w:sz="0" w:space="0" w:color="auto"/>
        <w:right w:val="none" w:sz="0" w:space="0" w:color="auto"/>
      </w:divBdr>
    </w:div>
    <w:div w:id="189494432">
      <w:bodyDiv w:val="1"/>
      <w:marLeft w:val="0"/>
      <w:marRight w:val="0"/>
      <w:marTop w:val="0"/>
      <w:marBottom w:val="0"/>
      <w:divBdr>
        <w:top w:val="none" w:sz="0" w:space="0" w:color="auto"/>
        <w:left w:val="none" w:sz="0" w:space="0" w:color="auto"/>
        <w:bottom w:val="none" w:sz="0" w:space="0" w:color="auto"/>
        <w:right w:val="none" w:sz="0" w:space="0" w:color="auto"/>
      </w:divBdr>
    </w:div>
    <w:div w:id="192379857">
      <w:bodyDiv w:val="1"/>
      <w:marLeft w:val="0"/>
      <w:marRight w:val="0"/>
      <w:marTop w:val="0"/>
      <w:marBottom w:val="0"/>
      <w:divBdr>
        <w:top w:val="none" w:sz="0" w:space="0" w:color="auto"/>
        <w:left w:val="none" w:sz="0" w:space="0" w:color="auto"/>
        <w:bottom w:val="none" w:sz="0" w:space="0" w:color="auto"/>
        <w:right w:val="none" w:sz="0" w:space="0" w:color="auto"/>
      </w:divBdr>
    </w:div>
    <w:div w:id="200172809">
      <w:bodyDiv w:val="1"/>
      <w:marLeft w:val="0"/>
      <w:marRight w:val="0"/>
      <w:marTop w:val="0"/>
      <w:marBottom w:val="0"/>
      <w:divBdr>
        <w:top w:val="none" w:sz="0" w:space="0" w:color="auto"/>
        <w:left w:val="none" w:sz="0" w:space="0" w:color="auto"/>
        <w:bottom w:val="none" w:sz="0" w:space="0" w:color="auto"/>
        <w:right w:val="none" w:sz="0" w:space="0" w:color="auto"/>
      </w:divBdr>
    </w:div>
    <w:div w:id="200410433">
      <w:bodyDiv w:val="1"/>
      <w:marLeft w:val="0"/>
      <w:marRight w:val="0"/>
      <w:marTop w:val="0"/>
      <w:marBottom w:val="0"/>
      <w:divBdr>
        <w:top w:val="none" w:sz="0" w:space="0" w:color="auto"/>
        <w:left w:val="none" w:sz="0" w:space="0" w:color="auto"/>
        <w:bottom w:val="none" w:sz="0" w:space="0" w:color="auto"/>
        <w:right w:val="none" w:sz="0" w:space="0" w:color="auto"/>
      </w:divBdr>
    </w:div>
    <w:div w:id="204219920">
      <w:bodyDiv w:val="1"/>
      <w:marLeft w:val="0"/>
      <w:marRight w:val="0"/>
      <w:marTop w:val="0"/>
      <w:marBottom w:val="0"/>
      <w:divBdr>
        <w:top w:val="none" w:sz="0" w:space="0" w:color="auto"/>
        <w:left w:val="none" w:sz="0" w:space="0" w:color="auto"/>
        <w:bottom w:val="none" w:sz="0" w:space="0" w:color="auto"/>
        <w:right w:val="none" w:sz="0" w:space="0" w:color="auto"/>
      </w:divBdr>
    </w:div>
    <w:div w:id="206140885">
      <w:bodyDiv w:val="1"/>
      <w:marLeft w:val="0"/>
      <w:marRight w:val="0"/>
      <w:marTop w:val="0"/>
      <w:marBottom w:val="0"/>
      <w:divBdr>
        <w:top w:val="none" w:sz="0" w:space="0" w:color="auto"/>
        <w:left w:val="none" w:sz="0" w:space="0" w:color="auto"/>
        <w:bottom w:val="none" w:sz="0" w:space="0" w:color="auto"/>
        <w:right w:val="none" w:sz="0" w:space="0" w:color="auto"/>
      </w:divBdr>
    </w:div>
    <w:div w:id="211815313">
      <w:bodyDiv w:val="1"/>
      <w:marLeft w:val="0"/>
      <w:marRight w:val="0"/>
      <w:marTop w:val="0"/>
      <w:marBottom w:val="0"/>
      <w:divBdr>
        <w:top w:val="none" w:sz="0" w:space="0" w:color="auto"/>
        <w:left w:val="none" w:sz="0" w:space="0" w:color="auto"/>
        <w:bottom w:val="none" w:sz="0" w:space="0" w:color="auto"/>
        <w:right w:val="none" w:sz="0" w:space="0" w:color="auto"/>
      </w:divBdr>
    </w:div>
    <w:div w:id="218638672">
      <w:bodyDiv w:val="1"/>
      <w:marLeft w:val="0"/>
      <w:marRight w:val="0"/>
      <w:marTop w:val="0"/>
      <w:marBottom w:val="0"/>
      <w:divBdr>
        <w:top w:val="none" w:sz="0" w:space="0" w:color="auto"/>
        <w:left w:val="none" w:sz="0" w:space="0" w:color="auto"/>
        <w:bottom w:val="none" w:sz="0" w:space="0" w:color="auto"/>
        <w:right w:val="none" w:sz="0" w:space="0" w:color="auto"/>
      </w:divBdr>
      <w:divsChild>
        <w:div w:id="600188144">
          <w:marLeft w:val="0"/>
          <w:marRight w:val="0"/>
          <w:marTop w:val="0"/>
          <w:marBottom w:val="0"/>
          <w:divBdr>
            <w:top w:val="none" w:sz="0" w:space="0" w:color="auto"/>
            <w:left w:val="none" w:sz="0" w:space="0" w:color="auto"/>
            <w:bottom w:val="none" w:sz="0" w:space="0" w:color="auto"/>
            <w:right w:val="none" w:sz="0" w:space="0" w:color="auto"/>
          </w:divBdr>
        </w:div>
        <w:div w:id="890532252">
          <w:marLeft w:val="0"/>
          <w:marRight w:val="0"/>
          <w:marTop w:val="0"/>
          <w:marBottom w:val="0"/>
          <w:divBdr>
            <w:top w:val="none" w:sz="0" w:space="0" w:color="auto"/>
            <w:left w:val="none" w:sz="0" w:space="0" w:color="auto"/>
            <w:bottom w:val="none" w:sz="0" w:space="0" w:color="auto"/>
            <w:right w:val="none" w:sz="0" w:space="0" w:color="auto"/>
          </w:divBdr>
        </w:div>
      </w:divsChild>
    </w:div>
    <w:div w:id="224220244">
      <w:bodyDiv w:val="1"/>
      <w:marLeft w:val="0"/>
      <w:marRight w:val="0"/>
      <w:marTop w:val="0"/>
      <w:marBottom w:val="0"/>
      <w:divBdr>
        <w:top w:val="none" w:sz="0" w:space="0" w:color="auto"/>
        <w:left w:val="none" w:sz="0" w:space="0" w:color="auto"/>
        <w:bottom w:val="none" w:sz="0" w:space="0" w:color="auto"/>
        <w:right w:val="none" w:sz="0" w:space="0" w:color="auto"/>
      </w:divBdr>
    </w:div>
    <w:div w:id="239215709">
      <w:bodyDiv w:val="1"/>
      <w:marLeft w:val="0"/>
      <w:marRight w:val="0"/>
      <w:marTop w:val="0"/>
      <w:marBottom w:val="0"/>
      <w:divBdr>
        <w:top w:val="none" w:sz="0" w:space="0" w:color="auto"/>
        <w:left w:val="none" w:sz="0" w:space="0" w:color="auto"/>
        <w:bottom w:val="none" w:sz="0" w:space="0" w:color="auto"/>
        <w:right w:val="none" w:sz="0" w:space="0" w:color="auto"/>
      </w:divBdr>
    </w:div>
    <w:div w:id="243104682">
      <w:bodyDiv w:val="1"/>
      <w:marLeft w:val="0"/>
      <w:marRight w:val="0"/>
      <w:marTop w:val="0"/>
      <w:marBottom w:val="0"/>
      <w:divBdr>
        <w:top w:val="none" w:sz="0" w:space="0" w:color="auto"/>
        <w:left w:val="none" w:sz="0" w:space="0" w:color="auto"/>
        <w:bottom w:val="none" w:sz="0" w:space="0" w:color="auto"/>
        <w:right w:val="none" w:sz="0" w:space="0" w:color="auto"/>
      </w:divBdr>
    </w:div>
    <w:div w:id="244923842">
      <w:bodyDiv w:val="1"/>
      <w:marLeft w:val="0"/>
      <w:marRight w:val="0"/>
      <w:marTop w:val="0"/>
      <w:marBottom w:val="0"/>
      <w:divBdr>
        <w:top w:val="none" w:sz="0" w:space="0" w:color="auto"/>
        <w:left w:val="none" w:sz="0" w:space="0" w:color="auto"/>
        <w:bottom w:val="none" w:sz="0" w:space="0" w:color="auto"/>
        <w:right w:val="none" w:sz="0" w:space="0" w:color="auto"/>
      </w:divBdr>
    </w:div>
    <w:div w:id="246575359">
      <w:bodyDiv w:val="1"/>
      <w:marLeft w:val="0"/>
      <w:marRight w:val="0"/>
      <w:marTop w:val="0"/>
      <w:marBottom w:val="0"/>
      <w:divBdr>
        <w:top w:val="none" w:sz="0" w:space="0" w:color="auto"/>
        <w:left w:val="none" w:sz="0" w:space="0" w:color="auto"/>
        <w:bottom w:val="none" w:sz="0" w:space="0" w:color="auto"/>
        <w:right w:val="none" w:sz="0" w:space="0" w:color="auto"/>
      </w:divBdr>
    </w:div>
    <w:div w:id="246967072">
      <w:bodyDiv w:val="1"/>
      <w:marLeft w:val="0"/>
      <w:marRight w:val="0"/>
      <w:marTop w:val="0"/>
      <w:marBottom w:val="0"/>
      <w:divBdr>
        <w:top w:val="none" w:sz="0" w:space="0" w:color="auto"/>
        <w:left w:val="none" w:sz="0" w:space="0" w:color="auto"/>
        <w:bottom w:val="none" w:sz="0" w:space="0" w:color="auto"/>
        <w:right w:val="none" w:sz="0" w:space="0" w:color="auto"/>
      </w:divBdr>
    </w:div>
    <w:div w:id="257174484">
      <w:bodyDiv w:val="1"/>
      <w:marLeft w:val="0"/>
      <w:marRight w:val="0"/>
      <w:marTop w:val="0"/>
      <w:marBottom w:val="0"/>
      <w:divBdr>
        <w:top w:val="none" w:sz="0" w:space="0" w:color="auto"/>
        <w:left w:val="none" w:sz="0" w:space="0" w:color="auto"/>
        <w:bottom w:val="none" w:sz="0" w:space="0" w:color="auto"/>
        <w:right w:val="none" w:sz="0" w:space="0" w:color="auto"/>
      </w:divBdr>
    </w:div>
    <w:div w:id="257910388">
      <w:bodyDiv w:val="1"/>
      <w:marLeft w:val="0"/>
      <w:marRight w:val="0"/>
      <w:marTop w:val="0"/>
      <w:marBottom w:val="0"/>
      <w:divBdr>
        <w:top w:val="none" w:sz="0" w:space="0" w:color="auto"/>
        <w:left w:val="none" w:sz="0" w:space="0" w:color="auto"/>
        <w:bottom w:val="none" w:sz="0" w:space="0" w:color="auto"/>
        <w:right w:val="none" w:sz="0" w:space="0" w:color="auto"/>
      </w:divBdr>
    </w:div>
    <w:div w:id="259409061">
      <w:bodyDiv w:val="1"/>
      <w:marLeft w:val="0"/>
      <w:marRight w:val="0"/>
      <w:marTop w:val="0"/>
      <w:marBottom w:val="0"/>
      <w:divBdr>
        <w:top w:val="none" w:sz="0" w:space="0" w:color="auto"/>
        <w:left w:val="none" w:sz="0" w:space="0" w:color="auto"/>
        <w:bottom w:val="none" w:sz="0" w:space="0" w:color="auto"/>
        <w:right w:val="none" w:sz="0" w:space="0" w:color="auto"/>
      </w:divBdr>
    </w:div>
    <w:div w:id="263265318">
      <w:bodyDiv w:val="1"/>
      <w:marLeft w:val="0"/>
      <w:marRight w:val="0"/>
      <w:marTop w:val="0"/>
      <w:marBottom w:val="0"/>
      <w:divBdr>
        <w:top w:val="none" w:sz="0" w:space="0" w:color="auto"/>
        <w:left w:val="none" w:sz="0" w:space="0" w:color="auto"/>
        <w:bottom w:val="none" w:sz="0" w:space="0" w:color="auto"/>
        <w:right w:val="none" w:sz="0" w:space="0" w:color="auto"/>
      </w:divBdr>
    </w:div>
    <w:div w:id="274679727">
      <w:bodyDiv w:val="1"/>
      <w:marLeft w:val="0"/>
      <w:marRight w:val="0"/>
      <w:marTop w:val="0"/>
      <w:marBottom w:val="0"/>
      <w:divBdr>
        <w:top w:val="none" w:sz="0" w:space="0" w:color="auto"/>
        <w:left w:val="none" w:sz="0" w:space="0" w:color="auto"/>
        <w:bottom w:val="none" w:sz="0" w:space="0" w:color="auto"/>
        <w:right w:val="none" w:sz="0" w:space="0" w:color="auto"/>
      </w:divBdr>
    </w:div>
    <w:div w:id="285429138">
      <w:bodyDiv w:val="1"/>
      <w:marLeft w:val="0"/>
      <w:marRight w:val="0"/>
      <w:marTop w:val="0"/>
      <w:marBottom w:val="0"/>
      <w:divBdr>
        <w:top w:val="none" w:sz="0" w:space="0" w:color="auto"/>
        <w:left w:val="none" w:sz="0" w:space="0" w:color="auto"/>
        <w:bottom w:val="none" w:sz="0" w:space="0" w:color="auto"/>
        <w:right w:val="none" w:sz="0" w:space="0" w:color="auto"/>
      </w:divBdr>
    </w:div>
    <w:div w:id="286206826">
      <w:bodyDiv w:val="1"/>
      <w:marLeft w:val="0"/>
      <w:marRight w:val="0"/>
      <w:marTop w:val="0"/>
      <w:marBottom w:val="0"/>
      <w:divBdr>
        <w:top w:val="none" w:sz="0" w:space="0" w:color="auto"/>
        <w:left w:val="none" w:sz="0" w:space="0" w:color="auto"/>
        <w:bottom w:val="none" w:sz="0" w:space="0" w:color="auto"/>
        <w:right w:val="none" w:sz="0" w:space="0" w:color="auto"/>
      </w:divBdr>
    </w:div>
    <w:div w:id="288974864">
      <w:bodyDiv w:val="1"/>
      <w:marLeft w:val="0"/>
      <w:marRight w:val="0"/>
      <w:marTop w:val="0"/>
      <w:marBottom w:val="0"/>
      <w:divBdr>
        <w:top w:val="none" w:sz="0" w:space="0" w:color="auto"/>
        <w:left w:val="none" w:sz="0" w:space="0" w:color="auto"/>
        <w:bottom w:val="none" w:sz="0" w:space="0" w:color="auto"/>
        <w:right w:val="none" w:sz="0" w:space="0" w:color="auto"/>
      </w:divBdr>
    </w:div>
    <w:div w:id="290326538">
      <w:bodyDiv w:val="1"/>
      <w:marLeft w:val="0"/>
      <w:marRight w:val="0"/>
      <w:marTop w:val="0"/>
      <w:marBottom w:val="0"/>
      <w:divBdr>
        <w:top w:val="none" w:sz="0" w:space="0" w:color="auto"/>
        <w:left w:val="none" w:sz="0" w:space="0" w:color="auto"/>
        <w:bottom w:val="none" w:sz="0" w:space="0" w:color="auto"/>
        <w:right w:val="none" w:sz="0" w:space="0" w:color="auto"/>
      </w:divBdr>
    </w:div>
    <w:div w:id="292713423">
      <w:bodyDiv w:val="1"/>
      <w:marLeft w:val="0"/>
      <w:marRight w:val="0"/>
      <w:marTop w:val="0"/>
      <w:marBottom w:val="0"/>
      <w:divBdr>
        <w:top w:val="none" w:sz="0" w:space="0" w:color="auto"/>
        <w:left w:val="none" w:sz="0" w:space="0" w:color="auto"/>
        <w:bottom w:val="none" w:sz="0" w:space="0" w:color="auto"/>
        <w:right w:val="none" w:sz="0" w:space="0" w:color="auto"/>
      </w:divBdr>
    </w:div>
    <w:div w:id="297957959">
      <w:bodyDiv w:val="1"/>
      <w:marLeft w:val="0"/>
      <w:marRight w:val="0"/>
      <w:marTop w:val="0"/>
      <w:marBottom w:val="0"/>
      <w:divBdr>
        <w:top w:val="none" w:sz="0" w:space="0" w:color="auto"/>
        <w:left w:val="none" w:sz="0" w:space="0" w:color="auto"/>
        <w:bottom w:val="none" w:sz="0" w:space="0" w:color="auto"/>
        <w:right w:val="none" w:sz="0" w:space="0" w:color="auto"/>
      </w:divBdr>
    </w:div>
    <w:div w:id="302464749">
      <w:bodyDiv w:val="1"/>
      <w:marLeft w:val="0"/>
      <w:marRight w:val="0"/>
      <w:marTop w:val="0"/>
      <w:marBottom w:val="0"/>
      <w:divBdr>
        <w:top w:val="none" w:sz="0" w:space="0" w:color="auto"/>
        <w:left w:val="none" w:sz="0" w:space="0" w:color="auto"/>
        <w:bottom w:val="none" w:sz="0" w:space="0" w:color="auto"/>
        <w:right w:val="none" w:sz="0" w:space="0" w:color="auto"/>
      </w:divBdr>
    </w:div>
    <w:div w:id="304550789">
      <w:bodyDiv w:val="1"/>
      <w:marLeft w:val="0"/>
      <w:marRight w:val="0"/>
      <w:marTop w:val="0"/>
      <w:marBottom w:val="0"/>
      <w:divBdr>
        <w:top w:val="none" w:sz="0" w:space="0" w:color="auto"/>
        <w:left w:val="none" w:sz="0" w:space="0" w:color="auto"/>
        <w:bottom w:val="none" w:sz="0" w:space="0" w:color="auto"/>
        <w:right w:val="none" w:sz="0" w:space="0" w:color="auto"/>
      </w:divBdr>
      <w:divsChild>
        <w:div w:id="381251105">
          <w:marLeft w:val="0"/>
          <w:marRight w:val="0"/>
          <w:marTop w:val="0"/>
          <w:marBottom w:val="0"/>
          <w:divBdr>
            <w:top w:val="none" w:sz="0" w:space="0" w:color="auto"/>
            <w:left w:val="none" w:sz="0" w:space="0" w:color="auto"/>
            <w:bottom w:val="none" w:sz="0" w:space="0" w:color="auto"/>
            <w:right w:val="none" w:sz="0" w:space="0" w:color="auto"/>
          </w:divBdr>
          <w:divsChild>
            <w:div w:id="1330060190">
              <w:marLeft w:val="0"/>
              <w:marRight w:val="0"/>
              <w:marTop w:val="0"/>
              <w:marBottom w:val="0"/>
              <w:divBdr>
                <w:top w:val="none" w:sz="0" w:space="0" w:color="auto"/>
                <w:left w:val="none" w:sz="0" w:space="0" w:color="auto"/>
                <w:bottom w:val="none" w:sz="0" w:space="0" w:color="auto"/>
                <w:right w:val="none" w:sz="0" w:space="0" w:color="auto"/>
              </w:divBdr>
              <w:divsChild>
                <w:div w:id="1299266700">
                  <w:marLeft w:val="0"/>
                  <w:marRight w:val="0"/>
                  <w:marTop w:val="0"/>
                  <w:marBottom w:val="0"/>
                  <w:divBdr>
                    <w:top w:val="none" w:sz="0" w:space="0" w:color="auto"/>
                    <w:left w:val="none" w:sz="0" w:space="0" w:color="auto"/>
                    <w:bottom w:val="none" w:sz="0" w:space="0" w:color="auto"/>
                    <w:right w:val="none" w:sz="0" w:space="0" w:color="auto"/>
                  </w:divBdr>
                  <w:divsChild>
                    <w:div w:id="12741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3267">
          <w:marLeft w:val="0"/>
          <w:marRight w:val="0"/>
          <w:marTop w:val="0"/>
          <w:marBottom w:val="0"/>
          <w:divBdr>
            <w:top w:val="none" w:sz="0" w:space="0" w:color="auto"/>
            <w:left w:val="none" w:sz="0" w:space="0" w:color="auto"/>
            <w:bottom w:val="none" w:sz="0" w:space="0" w:color="auto"/>
            <w:right w:val="none" w:sz="0" w:space="0" w:color="auto"/>
          </w:divBdr>
          <w:divsChild>
            <w:div w:id="1968316977">
              <w:marLeft w:val="0"/>
              <w:marRight w:val="0"/>
              <w:marTop w:val="0"/>
              <w:marBottom w:val="0"/>
              <w:divBdr>
                <w:top w:val="none" w:sz="0" w:space="0" w:color="auto"/>
                <w:left w:val="none" w:sz="0" w:space="0" w:color="auto"/>
                <w:bottom w:val="none" w:sz="0" w:space="0" w:color="auto"/>
                <w:right w:val="none" w:sz="0" w:space="0" w:color="auto"/>
              </w:divBdr>
              <w:divsChild>
                <w:div w:id="2091997026">
                  <w:marLeft w:val="0"/>
                  <w:marRight w:val="0"/>
                  <w:marTop w:val="0"/>
                  <w:marBottom w:val="0"/>
                  <w:divBdr>
                    <w:top w:val="none" w:sz="0" w:space="0" w:color="auto"/>
                    <w:left w:val="none" w:sz="0" w:space="0" w:color="auto"/>
                    <w:bottom w:val="none" w:sz="0" w:space="0" w:color="auto"/>
                    <w:right w:val="none" w:sz="0" w:space="0" w:color="auto"/>
                  </w:divBdr>
                  <w:divsChild>
                    <w:div w:id="15867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3290">
      <w:bodyDiv w:val="1"/>
      <w:marLeft w:val="0"/>
      <w:marRight w:val="0"/>
      <w:marTop w:val="0"/>
      <w:marBottom w:val="0"/>
      <w:divBdr>
        <w:top w:val="none" w:sz="0" w:space="0" w:color="auto"/>
        <w:left w:val="none" w:sz="0" w:space="0" w:color="auto"/>
        <w:bottom w:val="none" w:sz="0" w:space="0" w:color="auto"/>
        <w:right w:val="none" w:sz="0" w:space="0" w:color="auto"/>
      </w:divBdr>
    </w:div>
    <w:div w:id="305093360">
      <w:bodyDiv w:val="1"/>
      <w:marLeft w:val="0"/>
      <w:marRight w:val="0"/>
      <w:marTop w:val="0"/>
      <w:marBottom w:val="0"/>
      <w:divBdr>
        <w:top w:val="none" w:sz="0" w:space="0" w:color="auto"/>
        <w:left w:val="none" w:sz="0" w:space="0" w:color="auto"/>
        <w:bottom w:val="none" w:sz="0" w:space="0" w:color="auto"/>
        <w:right w:val="none" w:sz="0" w:space="0" w:color="auto"/>
      </w:divBdr>
    </w:div>
    <w:div w:id="306280765">
      <w:bodyDiv w:val="1"/>
      <w:marLeft w:val="0"/>
      <w:marRight w:val="0"/>
      <w:marTop w:val="0"/>
      <w:marBottom w:val="0"/>
      <w:divBdr>
        <w:top w:val="none" w:sz="0" w:space="0" w:color="auto"/>
        <w:left w:val="none" w:sz="0" w:space="0" w:color="auto"/>
        <w:bottom w:val="none" w:sz="0" w:space="0" w:color="auto"/>
        <w:right w:val="none" w:sz="0" w:space="0" w:color="auto"/>
      </w:divBdr>
    </w:div>
    <w:div w:id="314263664">
      <w:bodyDiv w:val="1"/>
      <w:marLeft w:val="0"/>
      <w:marRight w:val="0"/>
      <w:marTop w:val="0"/>
      <w:marBottom w:val="0"/>
      <w:divBdr>
        <w:top w:val="none" w:sz="0" w:space="0" w:color="auto"/>
        <w:left w:val="none" w:sz="0" w:space="0" w:color="auto"/>
        <w:bottom w:val="none" w:sz="0" w:space="0" w:color="auto"/>
        <w:right w:val="none" w:sz="0" w:space="0" w:color="auto"/>
      </w:divBdr>
    </w:div>
    <w:div w:id="316687961">
      <w:bodyDiv w:val="1"/>
      <w:marLeft w:val="0"/>
      <w:marRight w:val="0"/>
      <w:marTop w:val="0"/>
      <w:marBottom w:val="0"/>
      <w:divBdr>
        <w:top w:val="none" w:sz="0" w:space="0" w:color="auto"/>
        <w:left w:val="none" w:sz="0" w:space="0" w:color="auto"/>
        <w:bottom w:val="none" w:sz="0" w:space="0" w:color="auto"/>
        <w:right w:val="none" w:sz="0" w:space="0" w:color="auto"/>
      </w:divBdr>
    </w:div>
    <w:div w:id="318583780">
      <w:bodyDiv w:val="1"/>
      <w:marLeft w:val="0"/>
      <w:marRight w:val="0"/>
      <w:marTop w:val="0"/>
      <w:marBottom w:val="0"/>
      <w:divBdr>
        <w:top w:val="none" w:sz="0" w:space="0" w:color="auto"/>
        <w:left w:val="none" w:sz="0" w:space="0" w:color="auto"/>
        <w:bottom w:val="none" w:sz="0" w:space="0" w:color="auto"/>
        <w:right w:val="none" w:sz="0" w:space="0" w:color="auto"/>
      </w:divBdr>
    </w:div>
    <w:div w:id="320739579">
      <w:bodyDiv w:val="1"/>
      <w:marLeft w:val="0"/>
      <w:marRight w:val="0"/>
      <w:marTop w:val="0"/>
      <w:marBottom w:val="0"/>
      <w:divBdr>
        <w:top w:val="none" w:sz="0" w:space="0" w:color="auto"/>
        <w:left w:val="none" w:sz="0" w:space="0" w:color="auto"/>
        <w:bottom w:val="none" w:sz="0" w:space="0" w:color="auto"/>
        <w:right w:val="none" w:sz="0" w:space="0" w:color="auto"/>
      </w:divBdr>
    </w:div>
    <w:div w:id="328604338">
      <w:bodyDiv w:val="1"/>
      <w:marLeft w:val="0"/>
      <w:marRight w:val="0"/>
      <w:marTop w:val="0"/>
      <w:marBottom w:val="0"/>
      <w:divBdr>
        <w:top w:val="none" w:sz="0" w:space="0" w:color="auto"/>
        <w:left w:val="none" w:sz="0" w:space="0" w:color="auto"/>
        <w:bottom w:val="none" w:sz="0" w:space="0" w:color="auto"/>
        <w:right w:val="none" w:sz="0" w:space="0" w:color="auto"/>
      </w:divBdr>
    </w:div>
    <w:div w:id="330258741">
      <w:bodyDiv w:val="1"/>
      <w:marLeft w:val="0"/>
      <w:marRight w:val="0"/>
      <w:marTop w:val="0"/>
      <w:marBottom w:val="0"/>
      <w:divBdr>
        <w:top w:val="none" w:sz="0" w:space="0" w:color="auto"/>
        <w:left w:val="none" w:sz="0" w:space="0" w:color="auto"/>
        <w:bottom w:val="none" w:sz="0" w:space="0" w:color="auto"/>
        <w:right w:val="none" w:sz="0" w:space="0" w:color="auto"/>
      </w:divBdr>
    </w:div>
    <w:div w:id="334184956">
      <w:bodyDiv w:val="1"/>
      <w:marLeft w:val="0"/>
      <w:marRight w:val="0"/>
      <w:marTop w:val="0"/>
      <w:marBottom w:val="0"/>
      <w:divBdr>
        <w:top w:val="none" w:sz="0" w:space="0" w:color="auto"/>
        <w:left w:val="none" w:sz="0" w:space="0" w:color="auto"/>
        <w:bottom w:val="none" w:sz="0" w:space="0" w:color="auto"/>
        <w:right w:val="none" w:sz="0" w:space="0" w:color="auto"/>
      </w:divBdr>
    </w:div>
    <w:div w:id="342977587">
      <w:bodyDiv w:val="1"/>
      <w:marLeft w:val="0"/>
      <w:marRight w:val="0"/>
      <w:marTop w:val="0"/>
      <w:marBottom w:val="0"/>
      <w:divBdr>
        <w:top w:val="none" w:sz="0" w:space="0" w:color="auto"/>
        <w:left w:val="none" w:sz="0" w:space="0" w:color="auto"/>
        <w:bottom w:val="none" w:sz="0" w:space="0" w:color="auto"/>
        <w:right w:val="none" w:sz="0" w:space="0" w:color="auto"/>
      </w:divBdr>
    </w:div>
    <w:div w:id="349257385">
      <w:bodyDiv w:val="1"/>
      <w:marLeft w:val="0"/>
      <w:marRight w:val="0"/>
      <w:marTop w:val="0"/>
      <w:marBottom w:val="0"/>
      <w:divBdr>
        <w:top w:val="none" w:sz="0" w:space="0" w:color="auto"/>
        <w:left w:val="none" w:sz="0" w:space="0" w:color="auto"/>
        <w:bottom w:val="none" w:sz="0" w:space="0" w:color="auto"/>
        <w:right w:val="none" w:sz="0" w:space="0" w:color="auto"/>
      </w:divBdr>
    </w:div>
    <w:div w:id="350955225">
      <w:bodyDiv w:val="1"/>
      <w:marLeft w:val="0"/>
      <w:marRight w:val="0"/>
      <w:marTop w:val="0"/>
      <w:marBottom w:val="0"/>
      <w:divBdr>
        <w:top w:val="none" w:sz="0" w:space="0" w:color="auto"/>
        <w:left w:val="none" w:sz="0" w:space="0" w:color="auto"/>
        <w:bottom w:val="none" w:sz="0" w:space="0" w:color="auto"/>
        <w:right w:val="none" w:sz="0" w:space="0" w:color="auto"/>
      </w:divBdr>
    </w:div>
    <w:div w:id="351956527">
      <w:bodyDiv w:val="1"/>
      <w:marLeft w:val="0"/>
      <w:marRight w:val="0"/>
      <w:marTop w:val="0"/>
      <w:marBottom w:val="0"/>
      <w:divBdr>
        <w:top w:val="none" w:sz="0" w:space="0" w:color="auto"/>
        <w:left w:val="none" w:sz="0" w:space="0" w:color="auto"/>
        <w:bottom w:val="none" w:sz="0" w:space="0" w:color="auto"/>
        <w:right w:val="none" w:sz="0" w:space="0" w:color="auto"/>
      </w:divBdr>
    </w:div>
    <w:div w:id="354768565">
      <w:bodyDiv w:val="1"/>
      <w:marLeft w:val="0"/>
      <w:marRight w:val="0"/>
      <w:marTop w:val="0"/>
      <w:marBottom w:val="0"/>
      <w:divBdr>
        <w:top w:val="none" w:sz="0" w:space="0" w:color="auto"/>
        <w:left w:val="none" w:sz="0" w:space="0" w:color="auto"/>
        <w:bottom w:val="none" w:sz="0" w:space="0" w:color="auto"/>
        <w:right w:val="none" w:sz="0" w:space="0" w:color="auto"/>
      </w:divBdr>
    </w:div>
    <w:div w:id="356660438">
      <w:bodyDiv w:val="1"/>
      <w:marLeft w:val="0"/>
      <w:marRight w:val="0"/>
      <w:marTop w:val="0"/>
      <w:marBottom w:val="0"/>
      <w:divBdr>
        <w:top w:val="none" w:sz="0" w:space="0" w:color="auto"/>
        <w:left w:val="none" w:sz="0" w:space="0" w:color="auto"/>
        <w:bottom w:val="none" w:sz="0" w:space="0" w:color="auto"/>
        <w:right w:val="none" w:sz="0" w:space="0" w:color="auto"/>
      </w:divBdr>
    </w:div>
    <w:div w:id="361977073">
      <w:bodyDiv w:val="1"/>
      <w:marLeft w:val="0"/>
      <w:marRight w:val="0"/>
      <w:marTop w:val="0"/>
      <w:marBottom w:val="0"/>
      <w:divBdr>
        <w:top w:val="none" w:sz="0" w:space="0" w:color="auto"/>
        <w:left w:val="none" w:sz="0" w:space="0" w:color="auto"/>
        <w:bottom w:val="none" w:sz="0" w:space="0" w:color="auto"/>
        <w:right w:val="none" w:sz="0" w:space="0" w:color="auto"/>
      </w:divBdr>
    </w:div>
    <w:div w:id="373889292">
      <w:bodyDiv w:val="1"/>
      <w:marLeft w:val="0"/>
      <w:marRight w:val="0"/>
      <w:marTop w:val="0"/>
      <w:marBottom w:val="0"/>
      <w:divBdr>
        <w:top w:val="none" w:sz="0" w:space="0" w:color="auto"/>
        <w:left w:val="none" w:sz="0" w:space="0" w:color="auto"/>
        <w:bottom w:val="none" w:sz="0" w:space="0" w:color="auto"/>
        <w:right w:val="none" w:sz="0" w:space="0" w:color="auto"/>
      </w:divBdr>
      <w:divsChild>
        <w:div w:id="305358415">
          <w:marLeft w:val="0"/>
          <w:marRight w:val="0"/>
          <w:marTop w:val="0"/>
          <w:marBottom w:val="0"/>
          <w:divBdr>
            <w:top w:val="none" w:sz="0" w:space="0" w:color="auto"/>
            <w:left w:val="none" w:sz="0" w:space="0" w:color="auto"/>
            <w:bottom w:val="none" w:sz="0" w:space="0" w:color="auto"/>
            <w:right w:val="none" w:sz="0" w:space="0" w:color="auto"/>
          </w:divBdr>
          <w:divsChild>
            <w:div w:id="1231116742">
              <w:marLeft w:val="0"/>
              <w:marRight w:val="0"/>
              <w:marTop w:val="0"/>
              <w:marBottom w:val="0"/>
              <w:divBdr>
                <w:top w:val="none" w:sz="0" w:space="0" w:color="auto"/>
                <w:left w:val="none" w:sz="0" w:space="0" w:color="auto"/>
                <w:bottom w:val="none" w:sz="0" w:space="0" w:color="auto"/>
                <w:right w:val="none" w:sz="0" w:space="0" w:color="auto"/>
              </w:divBdr>
              <w:divsChild>
                <w:div w:id="55591022">
                  <w:marLeft w:val="0"/>
                  <w:marRight w:val="0"/>
                  <w:marTop w:val="0"/>
                  <w:marBottom w:val="0"/>
                  <w:divBdr>
                    <w:top w:val="none" w:sz="0" w:space="0" w:color="auto"/>
                    <w:left w:val="none" w:sz="0" w:space="0" w:color="auto"/>
                    <w:bottom w:val="none" w:sz="0" w:space="0" w:color="auto"/>
                    <w:right w:val="none" w:sz="0" w:space="0" w:color="auto"/>
                  </w:divBdr>
                  <w:divsChild>
                    <w:div w:id="110170063">
                      <w:marLeft w:val="0"/>
                      <w:marRight w:val="0"/>
                      <w:marTop w:val="0"/>
                      <w:marBottom w:val="0"/>
                      <w:divBdr>
                        <w:top w:val="none" w:sz="0" w:space="0" w:color="auto"/>
                        <w:left w:val="none" w:sz="0" w:space="0" w:color="auto"/>
                        <w:bottom w:val="none" w:sz="0" w:space="0" w:color="auto"/>
                        <w:right w:val="none" w:sz="0" w:space="0" w:color="auto"/>
                      </w:divBdr>
                      <w:divsChild>
                        <w:div w:id="16956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631">
          <w:marLeft w:val="0"/>
          <w:marRight w:val="0"/>
          <w:marTop w:val="0"/>
          <w:marBottom w:val="0"/>
          <w:divBdr>
            <w:top w:val="none" w:sz="0" w:space="0" w:color="auto"/>
            <w:left w:val="none" w:sz="0" w:space="0" w:color="auto"/>
            <w:bottom w:val="none" w:sz="0" w:space="0" w:color="auto"/>
            <w:right w:val="none" w:sz="0" w:space="0" w:color="auto"/>
          </w:divBdr>
          <w:divsChild>
            <w:div w:id="2077165003">
              <w:marLeft w:val="0"/>
              <w:marRight w:val="0"/>
              <w:marTop w:val="0"/>
              <w:marBottom w:val="0"/>
              <w:divBdr>
                <w:top w:val="none" w:sz="0" w:space="0" w:color="auto"/>
                <w:left w:val="none" w:sz="0" w:space="0" w:color="auto"/>
                <w:bottom w:val="none" w:sz="0" w:space="0" w:color="auto"/>
                <w:right w:val="none" w:sz="0" w:space="0" w:color="auto"/>
              </w:divBdr>
              <w:divsChild>
                <w:div w:id="353917811">
                  <w:marLeft w:val="0"/>
                  <w:marRight w:val="0"/>
                  <w:marTop w:val="0"/>
                  <w:marBottom w:val="0"/>
                  <w:divBdr>
                    <w:top w:val="none" w:sz="0" w:space="0" w:color="auto"/>
                    <w:left w:val="none" w:sz="0" w:space="0" w:color="auto"/>
                    <w:bottom w:val="none" w:sz="0" w:space="0" w:color="auto"/>
                    <w:right w:val="none" w:sz="0" w:space="0" w:color="auto"/>
                  </w:divBdr>
                  <w:divsChild>
                    <w:div w:id="4949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94815">
      <w:bodyDiv w:val="1"/>
      <w:marLeft w:val="0"/>
      <w:marRight w:val="0"/>
      <w:marTop w:val="0"/>
      <w:marBottom w:val="0"/>
      <w:divBdr>
        <w:top w:val="none" w:sz="0" w:space="0" w:color="auto"/>
        <w:left w:val="none" w:sz="0" w:space="0" w:color="auto"/>
        <w:bottom w:val="none" w:sz="0" w:space="0" w:color="auto"/>
        <w:right w:val="none" w:sz="0" w:space="0" w:color="auto"/>
      </w:divBdr>
    </w:div>
    <w:div w:id="382365835">
      <w:bodyDiv w:val="1"/>
      <w:marLeft w:val="0"/>
      <w:marRight w:val="0"/>
      <w:marTop w:val="0"/>
      <w:marBottom w:val="0"/>
      <w:divBdr>
        <w:top w:val="none" w:sz="0" w:space="0" w:color="auto"/>
        <w:left w:val="none" w:sz="0" w:space="0" w:color="auto"/>
        <w:bottom w:val="none" w:sz="0" w:space="0" w:color="auto"/>
        <w:right w:val="none" w:sz="0" w:space="0" w:color="auto"/>
      </w:divBdr>
    </w:div>
    <w:div w:id="383064822">
      <w:bodyDiv w:val="1"/>
      <w:marLeft w:val="0"/>
      <w:marRight w:val="0"/>
      <w:marTop w:val="0"/>
      <w:marBottom w:val="0"/>
      <w:divBdr>
        <w:top w:val="none" w:sz="0" w:space="0" w:color="auto"/>
        <w:left w:val="none" w:sz="0" w:space="0" w:color="auto"/>
        <w:bottom w:val="none" w:sz="0" w:space="0" w:color="auto"/>
        <w:right w:val="none" w:sz="0" w:space="0" w:color="auto"/>
      </w:divBdr>
    </w:div>
    <w:div w:id="402409555">
      <w:bodyDiv w:val="1"/>
      <w:marLeft w:val="0"/>
      <w:marRight w:val="0"/>
      <w:marTop w:val="0"/>
      <w:marBottom w:val="0"/>
      <w:divBdr>
        <w:top w:val="none" w:sz="0" w:space="0" w:color="auto"/>
        <w:left w:val="none" w:sz="0" w:space="0" w:color="auto"/>
        <w:bottom w:val="none" w:sz="0" w:space="0" w:color="auto"/>
        <w:right w:val="none" w:sz="0" w:space="0" w:color="auto"/>
      </w:divBdr>
    </w:div>
    <w:div w:id="418260410">
      <w:bodyDiv w:val="1"/>
      <w:marLeft w:val="0"/>
      <w:marRight w:val="0"/>
      <w:marTop w:val="0"/>
      <w:marBottom w:val="0"/>
      <w:divBdr>
        <w:top w:val="none" w:sz="0" w:space="0" w:color="auto"/>
        <w:left w:val="none" w:sz="0" w:space="0" w:color="auto"/>
        <w:bottom w:val="none" w:sz="0" w:space="0" w:color="auto"/>
        <w:right w:val="none" w:sz="0" w:space="0" w:color="auto"/>
      </w:divBdr>
    </w:div>
    <w:div w:id="419567606">
      <w:bodyDiv w:val="1"/>
      <w:marLeft w:val="0"/>
      <w:marRight w:val="0"/>
      <w:marTop w:val="0"/>
      <w:marBottom w:val="0"/>
      <w:divBdr>
        <w:top w:val="none" w:sz="0" w:space="0" w:color="auto"/>
        <w:left w:val="none" w:sz="0" w:space="0" w:color="auto"/>
        <w:bottom w:val="none" w:sz="0" w:space="0" w:color="auto"/>
        <w:right w:val="none" w:sz="0" w:space="0" w:color="auto"/>
      </w:divBdr>
    </w:div>
    <w:div w:id="425879942">
      <w:bodyDiv w:val="1"/>
      <w:marLeft w:val="0"/>
      <w:marRight w:val="0"/>
      <w:marTop w:val="0"/>
      <w:marBottom w:val="0"/>
      <w:divBdr>
        <w:top w:val="none" w:sz="0" w:space="0" w:color="auto"/>
        <w:left w:val="none" w:sz="0" w:space="0" w:color="auto"/>
        <w:bottom w:val="none" w:sz="0" w:space="0" w:color="auto"/>
        <w:right w:val="none" w:sz="0" w:space="0" w:color="auto"/>
      </w:divBdr>
      <w:divsChild>
        <w:div w:id="1158500742">
          <w:marLeft w:val="0"/>
          <w:marRight w:val="0"/>
          <w:marTop w:val="0"/>
          <w:marBottom w:val="0"/>
          <w:divBdr>
            <w:top w:val="none" w:sz="0" w:space="0" w:color="auto"/>
            <w:left w:val="none" w:sz="0" w:space="0" w:color="auto"/>
            <w:bottom w:val="none" w:sz="0" w:space="0" w:color="auto"/>
            <w:right w:val="none" w:sz="0" w:space="0" w:color="auto"/>
          </w:divBdr>
        </w:div>
      </w:divsChild>
    </w:div>
    <w:div w:id="429814781">
      <w:bodyDiv w:val="1"/>
      <w:marLeft w:val="0"/>
      <w:marRight w:val="0"/>
      <w:marTop w:val="0"/>
      <w:marBottom w:val="0"/>
      <w:divBdr>
        <w:top w:val="none" w:sz="0" w:space="0" w:color="auto"/>
        <w:left w:val="none" w:sz="0" w:space="0" w:color="auto"/>
        <w:bottom w:val="none" w:sz="0" w:space="0" w:color="auto"/>
        <w:right w:val="none" w:sz="0" w:space="0" w:color="auto"/>
      </w:divBdr>
    </w:div>
    <w:div w:id="434329221">
      <w:bodyDiv w:val="1"/>
      <w:marLeft w:val="0"/>
      <w:marRight w:val="0"/>
      <w:marTop w:val="0"/>
      <w:marBottom w:val="0"/>
      <w:divBdr>
        <w:top w:val="none" w:sz="0" w:space="0" w:color="auto"/>
        <w:left w:val="none" w:sz="0" w:space="0" w:color="auto"/>
        <w:bottom w:val="none" w:sz="0" w:space="0" w:color="auto"/>
        <w:right w:val="none" w:sz="0" w:space="0" w:color="auto"/>
      </w:divBdr>
    </w:div>
    <w:div w:id="436679448">
      <w:bodyDiv w:val="1"/>
      <w:marLeft w:val="0"/>
      <w:marRight w:val="0"/>
      <w:marTop w:val="0"/>
      <w:marBottom w:val="0"/>
      <w:divBdr>
        <w:top w:val="none" w:sz="0" w:space="0" w:color="auto"/>
        <w:left w:val="none" w:sz="0" w:space="0" w:color="auto"/>
        <w:bottom w:val="none" w:sz="0" w:space="0" w:color="auto"/>
        <w:right w:val="none" w:sz="0" w:space="0" w:color="auto"/>
      </w:divBdr>
    </w:div>
    <w:div w:id="437719728">
      <w:bodyDiv w:val="1"/>
      <w:marLeft w:val="0"/>
      <w:marRight w:val="0"/>
      <w:marTop w:val="0"/>
      <w:marBottom w:val="0"/>
      <w:divBdr>
        <w:top w:val="none" w:sz="0" w:space="0" w:color="auto"/>
        <w:left w:val="none" w:sz="0" w:space="0" w:color="auto"/>
        <w:bottom w:val="none" w:sz="0" w:space="0" w:color="auto"/>
        <w:right w:val="none" w:sz="0" w:space="0" w:color="auto"/>
      </w:divBdr>
    </w:div>
    <w:div w:id="438379690">
      <w:bodyDiv w:val="1"/>
      <w:marLeft w:val="0"/>
      <w:marRight w:val="0"/>
      <w:marTop w:val="0"/>
      <w:marBottom w:val="0"/>
      <w:divBdr>
        <w:top w:val="none" w:sz="0" w:space="0" w:color="auto"/>
        <w:left w:val="none" w:sz="0" w:space="0" w:color="auto"/>
        <w:bottom w:val="none" w:sz="0" w:space="0" w:color="auto"/>
        <w:right w:val="none" w:sz="0" w:space="0" w:color="auto"/>
      </w:divBdr>
    </w:div>
    <w:div w:id="443307380">
      <w:bodyDiv w:val="1"/>
      <w:marLeft w:val="0"/>
      <w:marRight w:val="0"/>
      <w:marTop w:val="0"/>
      <w:marBottom w:val="0"/>
      <w:divBdr>
        <w:top w:val="none" w:sz="0" w:space="0" w:color="auto"/>
        <w:left w:val="none" w:sz="0" w:space="0" w:color="auto"/>
        <w:bottom w:val="none" w:sz="0" w:space="0" w:color="auto"/>
        <w:right w:val="none" w:sz="0" w:space="0" w:color="auto"/>
      </w:divBdr>
    </w:div>
    <w:div w:id="445200546">
      <w:bodyDiv w:val="1"/>
      <w:marLeft w:val="0"/>
      <w:marRight w:val="0"/>
      <w:marTop w:val="0"/>
      <w:marBottom w:val="0"/>
      <w:divBdr>
        <w:top w:val="none" w:sz="0" w:space="0" w:color="auto"/>
        <w:left w:val="none" w:sz="0" w:space="0" w:color="auto"/>
        <w:bottom w:val="none" w:sz="0" w:space="0" w:color="auto"/>
        <w:right w:val="none" w:sz="0" w:space="0" w:color="auto"/>
      </w:divBdr>
    </w:div>
    <w:div w:id="447047167">
      <w:bodyDiv w:val="1"/>
      <w:marLeft w:val="0"/>
      <w:marRight w:val="0"/>
      <w:marTop w:val="0"/>
      <w:marBottom w:val="0"/>
      <w:divBdr>
        <w:top w:val="none" w:sz="0" w:space="0" w:color="auto"/>
        <w:left w:val="none" w:sz="0" w:space="0" w:color="auto"/>
        <w:bottom w:val="none" w:sz="0" w:space="0" w:color="auto"/>
        <w:right w:val="none" w:sz="0" w:space="0" w:color="auto"/>
      </w:divBdr>
    </w:div>
    <w:div w:id="447428899">
      <w:bodyDiv w:val="1"/>
      <w:marLeft w:val="0"/>
      <w:marRight w:val="0"/>
      <w:marTop w:val="0"/>
      <w:marBottom w:val="0"/>
      <w:divBdr>
        <w:top w:val="none" w:sz="0" w:space="0" w:color="auto"/>
        <w:left w:val="none" w:sz="0" w:space="0" w:color="auto"/>
        <w:bottom w:val="none" w:sz="0" w:space="0" w:color="auto"/>
        <w:right w:val="none" w:sz="0" w:space="0" w:color="auto"/>
      </w:divBdr>
    </w:div>
    <w:div w:id="449519591">
      <w:bodyDiv w:val="1"/>
      <w:marLeft w:val="0"/>
      <w:marRight w:val="0"/>
      <w:marTop w:val="0"/>
      <w:marBottom w:val="0"/>
      <w:divBdr>
        <w:top w:val="none" w:sz="0" w:space="0" w:color="auto"/>
        <w:left w:val="none" w:sz="0" w:space="0" w:color="auto"/>
        <w:bottom w:val="none" w:sz="0" w:space="0" w:color="auto"/>
        <w:right w:val="none" w:sz="0" w:space="0" w:color="auto"/>
      </w:divBdr>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5897595">
      <w:bodyDiv w:val="1"/>
      <w:marLeft w:val="0"/>
      <w:marRight w:val="0"/>
      <w:marTop w:val="0"/>
      <w:marBottom w:val="0"/>
      <w:divBdr>
        <w:top w:val="none" w:sz="0" w:space="0" w:color="auto"/>
        <w:left w:val="none" w:sz="0" w:space="0" w:color="auto"/>
        <w:bottom w:val="none" w:sz="0" w:space="0" w:color="auto"/>
        <w:right w:val="none" w:sz="0" w:space="0" w:color="auto"/>
      </w:divBdr>
    </w:div>
    <w:div w:id="467088613">
      <w:bodyDiv w:val="1"/>
      <w:marLeft w:val="0"/>
      <w:marRight w:val="0"/>
      <w:marTop w:val="0"/>
      <w:marBottom w:val="0"/>
      <w:divBdr>
        <w:top w:val="none" w:sz="0" w:space="0" w:color="auto"/>
        <w:left w:val="none" w:sz="0" w:space="0" w:color="auto"/>
        <w:bottom w:val="none" w:sz="0" w:space="0" w:color="auto"/>
        <w:right w:val="none" w:sz="0" w:space="0" w:color="auto"/>
      </w:divBdr>
    </w:div>
    <w:div w:id="468325340">
      <w:bodyDiv w:val="1"/>
      <w:marLeft w:val="0"/>
      <w:marRight w:val="0"/>
      <w:marTop w:val="0"/>
      <w:marBottom w:val="0"/>
      <w:divBdr>
        <w:top w:val="none" w:sz="0" w:space="0" w:color="auto"/>
        <w:left w:val="none" w:sz="0" w:space="0" w:color="auto"/>
        <w:bottom w:val="none" w:sz="0" w:space="0" w:color="auto"/>
        <w:right w:val="none" w:sz="0" w:space="0" w:color="auto"/>
      </w:divBdr>
    </w:div>
    <w:div w:id="469059293">
      <w:bodyDiv w:val="1"/>
      <w:marLeft w:val="0"/>
      <w:marRight w:val="0"/>
      <w:marTop w:val="0"/>
      <w:marBottom w:val="0"/>
      <w:divBdr>
        <w:top w:val="none" w:sz="0" w:space="0" w:color="auto"/>
        <w:left w:val="none" w:sz="0" w:space="0" w:color="auto"/>
        <w:bottom w:val="none" w:sz="0" w:space="0" w:color="auto"/>
        <w:right w:val="none" w:sz="0" w:space="0" w:color="auto"/>
      </w:divBdr>
    </w:div>
    <w:div w:id="473529846">
      <w:bodyDiv w:val="1"/>
      <w:marLeft w:val="0"/>
      <w:marRight w:val="0"/>
      <w:marTop w:val="0"/>
      <w:marBottom w:val="0"/>
      <w:divBdr>
        <w:top w:val="none" w:sz="0" w:space="0" w:color="auto"/>
        <w:left w:val="none" w:sz="0" w:space="0" w:color="auto"/>
        <w:bottom w:val="none" w:sz="0" w:space="0" w:color="auto"/>
        <w:right w:val="none" w:sz="0" w:space="0" w:color="auto"/>
      </w:divBdr>
    </w:div>
    <w:div w:id="474489697">
      <w:bodyDiv w:val="1"/>
      <w:marLeft w:val="0"/>
      <w:marRight w:val="0"/>
      <w:marTop w:val="0"/>
      <w:marBottom w:val="0"/>
      <w:divBdr>
        <w:top w:val="none" w:sz="0" w:space="0" w:color="auto"/>
        <w:left w:val="none" w:sz="0" w:space="0" w:color="auto"/>
        <w:bottom w:val="none" w:sz="0" w:space="0" w:color="auto"/>
        <w:right w:val="none" w:sz="0" w:space="0" w:color="auto"/>
      </w:divBdr>
    </w:div>
    <w:div w:id="476996212">
      <w:bodyDiv w:val="1"/>
      <w:marLeft w:val="0"/>
      <w:marRight w:val="0"/>
      <w:marTop w:val="0"/>
      <w:marBottom w:val="0"/>
      <w:divBdr>
        <w:top w:val="none" w:sz="0" w:space="0" w:color="auto"/>
        <w:left w:val="none" w:sz="0" w:space="0" w:color="auto"/>
        <w:bottom w:val="none" w:sz="0" w:space="0" w:color="auto"/>
        <w:right w:val="none" w:sz="0" w:space="0" w:color="auto"/>
      </w:divBdr>
    </w:div>
    <w:div w:id="479345696">
      <w:bodyDiv w:val="1"/>
      <w:marLeft w:val="0"/>
      <w:marRight w:val="0"/>
      <w:marTop w:val="0"/>
      <w:marBottom w:val="0"/>
      <w:divBdr>
        <w:top w:val="none" w:sz="0" w:space="0" w:color="auto"/>
        <w:left w:val="none" w:sz="0" w:space="0" w:color="auto"/>
        <w:bottom w:val="none" w:sz="0" w:space="0" w:color="auto"/>
        <w:right w:val="none" w:sz="0" w:space="0" w:color="auto"/>
      </w:divBdr>
    </w:div>
    <w:div w:id="483090717">
      <w:bodyDiv w:val="1"/>
      <w:marLeft w:val="0"/>
      <w:marRight w:val="0"/>
      <w:marTop w:val="0"/>
      <w:marBottom w:val="0"/>
      <w:divBdr>
        <w:top w:val="none" w:sz="0" w:space="0" w:color="auto"/>
        <w:left w:val="none" w:sz="0" w:space="0" w:color="auto"/>
        <w:bottom w:val="none" w:sz="0" w:space="0" w:color="auto"/>
        <w:right w:val="none" w:sz="0" w:space="0" w:color="auto"/>
      </w:divBdr>
    </w:div>
    <w:div w:id="484325499">
      <w:bodyDiv w:val="1"/>
      <w:marLeft w:val="0"/>
      <w:marRight w:val="0"/>
      <w:marTop w:val="0"/>
      <w:marBottom w:val="0"/>
      <w:divBdr>
        <w:top w:val="none" w:sz="0" w:space="0" w:color="auto"/>
        <w:left w:val="none" w:sz="0" w:space="0" w:color="auto"/>
        <w:bottom w:val="none" w:sz="0" w:space="0" w:color="auto"/>
        <w:right w:val="none" w:sz="0" w:space="0" w:color="auto"/>
      </w:divBdr>
    </w:div>
    <w:div w:id="489175146">
      <w:bodyDiv w:val="1"/>
      <w:marLeft w:val="0"/>
      <w:marRight w:val="0"/>
      <w:marTop w:val="0"/>
      <w:marBottom w:val="0"/>
      <w:divBdr>
        <w:top w:val="none" w:sz="0" w:space="0" w:color="auto"/>
        <w:left w:val="none" w:sz="0" w:space="0" w:color="auto"/>
        <w:bottom w:val="none" w:sz="0" w:space="0" w:color="auto"/>
        <w:right w:val="none" w:sz="0" w:space="0" w:color="auto"/>
      </w:divBdr>
    </w:div>
    <w:div w:id="493033724">
      <w:bodyDiv w:val="1"/>
      <w:marLeft w:val="0"/>
      <w:marRight w:val="0"/>
      <w:marTop w:val="0"/>
      <w:marBottom w:val="0"/>
      <w:divBdr>
        <w:top w:val="none" w:sz="0" w:space="0" w:color="auto"/>
        <w:left w:val="none" w:sz="0" w:space="0" w:color="auto"/>
        <w:bottom w:val="none" w:sz="0" w:space="0" w:color="auto"/>
        <w:right w:val="none" w:sz="0" w:space="0" w:color="auto"/>
      </w:divBdr>
    </w:div>
    <w:div w:id="493179532">
      <w:bodyDiv w:val="1"/>
      <w:marLeft w:val="0"/>
      <w:marRight w:val="0"/>
      <w:marTop w:val="0"/>
      <w:marBottom w:val="0"/>
      <w:divBdr>
        <w:top w:val="none" w:sz="0" w:space="0" w:color="auto"/>
        <w:left w:val="none" w:sz="0" w:space="0" w:color="auto"/>
        <w:bottom w:val="none" w:sz="0" w:space="0" w:color="auto"/>
        <w:right w:val="none" w:sz="0" w:space="0" w:color="auto"/>
      </w:divBdr>
      <w:divsChild>
        <w:div w:id="2040544981">
          <w:marLeft w:val="0"/>
          <w:marRight w:val="0"/>
          <w:marTop w:val="0"/>
          <w:marBottom w:val="0"/>
          <w:divBdr>
            <w:top w:val="none" w:sz="0" w:space="0" w:color="auto"/>
            <w:left w:val="none" w:sz="0" w:space="0" w:color="auto"/>
            <w:bottom w:val="none" w:sz="0" w:space="0" w:color="auto"/>
            <w:right w:val="none" w:sz="0" w:space="0" w:color="auto"/>
          </w:divBdr>
          <w:divsChild>
            <w:div w:id="342123470">
              <w:marLeft w:val="0"/>
              <w:marRight w:val="0"/>
              <w:marTop w:val="0"/>
              <w:marBottom w:val="0"/>
              <w:divBdr>
                <w:top w:val="none" w:sz="0" w:space="0" w:color="auto"/>
                <w:left w:val="none" w:sz="0" w:space="0" w:color="auto"/>
                <w:bottom w:val="none" w:sz="0" w:space="0" w:color="auto"/>
                <w:right w:val="none" w:sz="0" w:space="0" w:color="auto"/>
              </w:divBdr>
              <w:divsChild>
                <w:div w:id="1394237480">
                  <w:marLeft w:val="0"/>
                  <w:marRight w:val="0"/>
                  <w:marTop w:val="0"/>
                  <w:marBottom w:val="0"/>
                  <w:divBdr>
                    <w:top w:val="none" w:sz="0" w:space="0" w:color="auto"/>
                    <w:left w:val="none" w:sz="0" w:space="0" w:color="auto"/>
                    <w:bottom w:val="none" w:sz="0" w:space="0" w:color="auto"/>
                    <w:right w:val="none" w:sz="0" w:space="0" w:color="auto"/>
                  </w:divBdr>
                  <w:divsChild>
                    <w:div w:id="170990459">
                      <w:marLeft w:val="0"/>
                      <w:marRight w:val="0"/>
                      <w:marTop w:val="0"/>
                      <w:marBottom w:val="0"/>
                      <w:divBdr>
                        <w:top w:val="none" w:sz="0" w:space="0" w:color="auto"/>
                        <w:left w:val="none" w:sz="0" w:space="0" w:color="auto"/>
                        <w:bottom w:val="none" w:sz="0" w:space="0" w:color="auto"/>
                        <w:right w:val="none" w:sz="0" w:space="0" w:color="auto"/>
                      </w:divBdr>
                    </w:div>
                  </w:divsChild>
                </w:div>
                <w:div w:id="2136824685">
                  <w:marLeft w:val="0"/>
                  <w:marRight w:val="0"/>
                  <w:marTop w:val="0"/>
                  <w:marBottom w:val="0"/>
                  <w:divBdr>
                    <w:top w:val="none" w:sz="0" w:space="0" w:color="auto"/>
                    <w:left w:val="none" w:sz="0" w:space="0" w:color="auto"/>
                    <w:bottom w:val="none" w:sz="0" w:space="0" w:color="auto"/>
                    <w:right w:val="none" w:sz="0" w:space="0" w:color="auto"/>
                  </w:divBdr>
                  <w:divsChild>
                    <w:div w:id="2136214085">
                      <w:marLeft w:val="0"/>
                      <w:marRight w:val="0"/>
                      <w:marTop w:val="0"/>
                      <w:marBottom w:val="0"/>
                      <w:divBdr>
                        <w:top w:val="none" w:sz="0" w:space="0" w:color="auto"/>
                        <w:left w:val="none" w:sz="0" w:space="0" w:color="auto"/>
                        <w:bottom w:val="none" w:sz="0" w:space="0" w:color="auto"/>
                        <w:right w:val="none" w:sz="0" w:space="0" w:color="auto"/>
                      </w:divBdr>
                      <w:divsChild>
                        <w:div w:id="1895774699">
                          <w:marLeft w:val="0"/>
                          <w:marRight w:val="0"/>
                          <w:marTop w:val="0"/>
                          <w:marBottom w:val="0"/>
                          <w:divBdr>
                            <w:top w:val="none" w:sz="0" w:space="0" w:color="auto"/>
                            <w:left w:val="none" w:sz="0" w:space="0" w:color="auto"/>
                            <w:bottom w:val="none" w:sz="0" w:space="0" w:color="auto"/>
                            <w:right w:val="none" w:sz="0" w:space="0" w:color="auto"/>
                          </w:divBdr>
                          <w:divsChild>
                            <w:div w:id="19702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25365">
      <w:bodyDiv w:val="1"/>
      <w:marLeft w:val="0"/>
      <w:marRight w:val="0"/>
      <w:marTop w:val="0"/>
      <w:marBottom w:val="0"/>
      <w:divBdr>
        <w:top w:val="none" w:sz="0" w:space="0" w:color="auto"/>
        <w:left w:val="none" w:sz="0" w:space="0" w:color="auto"/>
        <w:bottom w:val="none" w:sz="0" w:space="0" w:color="auto"/>
        <w:right w:val="none" w:sz="0" w:space="0" w:color="auto"/>
      </w:divBdr>
    </w:div>
    <w:div w:id="506215725">
      <w:bodyDiv w:val="1"/>
      <w:marLeft w:val="0"/>
      <w:marRight w:val="0"/>
      <w:marTop w:val="0"/>
      <w:marBottom w:val="0"/>
      <w:divBdr>
        <w:top w:val="none" w:sz="0" w:space="0" w:color="auto"/>
        <w:left w:val="none" w:sz="0" w:space="0" w:color="auto"/>
        <w:bottom w:val="none" w:sz="0" w:space="0" w:color="auto"/>
        <w:right w:val="none" w:sz="0" w:space="0" w:color="auto"/>
      </w:divBdr>
    </w:div>
    <w:div w:id="521943807">
      <w:bodyDiv w:val="1"/>
      <w:marLeft w:val="0"/>
      <w:marRight w:val="0"/>
      <w:marTop w:val="0"/>
      <w:marBottom w:val="0"/>
      <w:divBdr>
        <w:top w:val="none" w:sz="0" w:space="0" w:color="auto"/>
        <w:left w:val="none" w:sz="0" w:space="0" w:color="auto"/>
        <w:bottom w:val="none" w:sz="0" w:space="0" w:color="auto"/>
        <w:right w:val="none" w:sz="0" w:space="0" w:color="auto"/>
      </w:divBdr>
    </w:div>
    <w:div w:id="523983942">
      <w:bodyDiv w:val="1"/>
      <w:marLeft w:val="0"/>
      <w:marRight w:val="0"/>
      <w:marTop w:val="0"/>
      <w:marBottom w:val="0"/>
      <w:divBdr>
        <w:top w:val="none" w:sz="0" w:space="0" w:color="auto"/>
        <w:left w:val="none" w:sz="0" w:space="0" w:color="auto"/>
        <w:bottom w:val="none" w:sz="0" w:space="0" w:color="auto"/>
        <w:right w:val="none" w:sz="0" w:space="0" w:color="auto"/>
      </w:divBdr>
    </w:div>
    <w:div w:id="524829632">
      <w:bodyDiv w:val="1"/>
      <w:marLeft w:val="0"/>
      <w:marRight w:val="0"/>
      <w:marTop w:val="0"/>
      <w:marBottom w:val="0"/>
      <w:divBdr>
        <w:top w:val="none" w:sz="0" w:space="0" w:color="auto"/>
        <w:left w:val="none" w:sz="0" w:space="0" w:color="auto"/>
        <w:bottom w:val="none" w:sz="0" w:space="0" w:color="auto"/>
        <w:right w:val="none" w:sz="0" w:space="0" w:color="auto"/>
      </w:divBdr>
    </w:div>
    <w:div w:id="525098967">
      <w:bodyDiv w:val="1"/>
      <w:marLeft w:val="0"/>
      <w:marRight w:val="0"/>
      <w:marTop w:val="0"/>
      <w:marBottom w:val="0"/>
      <w:divBdr>
        <w:top w:val="none" w:sz="0" w:space="0" w:color="auto"/>
        <w:left w:val="none" w:sz="0" w:space="0" w:color="auto"/>
        <w:bottom w:val="none" w:sz="0" w:space="0" w:color="auto"/>
        <w:right w:val="none" w:sz="0" w:space="0" w:color="auto"/>
      </w:divBdr>
    </w:div>
    <w:div w:id="533546391">
      <w:bodyDiv w:val="1"/>
      <w:marLeft w:val="0"/>
      <w:marRight w:val="0"/>
      <w:marTop w:val="0"/>
      <w:marBottom w:val="0"/>
      <w:divBdr>
        <w:top w:val="none" w:sz="0" w:space="0" w:color="auto"/>
        <w:left w:val="none" w:sz="0" w:space="0" w:color="auto"/>
        <w:bottom w:val="none" w:sz="0" w:space="0" w:color="auto"/>
        <w:right w:val="none" w:sz="0" w:space="0" w:color="auto"/>
      </w:divBdr>
    </w:div>
    <w:div w:id="535236671">
      <w:bodyDiv w:val="1"/>
      <w:marLeft w:val="0"/>
      <w:marRight w:val="0"/>
      <w:marTop w:val="0"/>
      <w:marBottom w:val="0"/>
      <w:divBdr>
        <w:top w:val="none" w:sz="0" w:space="0" w:color="auto"/>
        <w:left w:val="none" w:sz="0" w:space="0" w:color="auto"/>
        <w:bottom w:val="none" w:sz="0" w:space="0" w:color="auto"/>
        <w:right w:val="none" w:sz="0" w:space="0" w:color="auto"/>
      </w:divBdr>
    </w:div>
    <w:div w:id="540748596">
      <w:bodyDiv w:val="1"/>
      <w:marLeft w:val="0"/>
      <w:marRight w:val="0"/>
      <w:marTop w:val="0"/>
      <w:marBottom w:val="0"/>
      <w:divBdr>
        <w:top w:val="none" w:sz="0" w:space="0" w:color="auto"/>
        <w:left w:val="none" w:sz="0" w:space="0" w:color="auto"/>
        <w:bottom w:val="none" w:sz="0" w:space="0" w:color="auto"/>
        <w:right w:val="none" w:sz="0" w:space="0" w:color="auto"/>
      </w:divBdr>
    </w:div>
    <w:div w:id="541332194">
      <w:bodyDiv w:val="1"/>
      <w:marLeft w:val="0"/>
      <w:marRight w:val="0"/>
      <w:marTop w:val="0"/>
      <w:marBottom w:val="0"/>
      <w:divBdr>
        <w:top w:val="none" w:sz="0" w:space="0" w:color="auto"/>
        <w:left w:val="none" w:sz="0" w:space="0" w:color="auto"/>
        <w:bottom w:val="none" w:sz="0" w:space="0" w:color="auto"/>
        <w:right w:val="none" w:sz="0" w:space="0" w:color="auto"/>
      </w:divBdr>
    </w:div>
    <w:div w:id="547307014">
      <w:bodyDiv w:val="1"/>
      <w:marLeft w:val="0"/>
      <w:marRight w:val="0"/>
      <w:marTop w:val="0"/>
      <w:marBottom w:val="0"/>
      <w:divBdr>
        <w:top w:val="none" w:sz="0" w:space="0" w:color="auto"/>
        <w:left w:val="none" w:sz="0" w:space="0" w:color="auto"/>
        <w:bottom w:val="none" w:sz="0" w:space="0" w:color="auto"/>
        <w:right w:val="none" w:sz="0" w:space="0" w:color="auto"/>
      </w:divBdr>
    </w:div>
    <w:div w:id="548107589">
      <w:bodyDiv w:val="1"/>
      <w:marLeft w:val="0"/>
      <w:marRight w:val="0"/>
      <w:marTop w:val="0"/>
      <w:marBottom w:val="0"/>
      <w:divBdr>
        <w:top w:val="none" w:sz="0" w:space="0" w:color="auto"/>
        <w:left w:val="none" w:sz="0" w:space="0" w:color="auto"/>
        <w:bottom w:val="none" w:sz="0" w:space="0" w:color="auto"/>
        <w:right w:val="none" w:sz="0" w:space="0" w:color="auto"/>
      </w:divBdr>
      <w:divsChild>
        <w:div w:id="251740452">
          <w:marLeft w:val="0"/>
          <w:marRight w:val="0"/>
          <w:marTop w:val="0"/>
          <w:marBottom w:val="0"/>
          <w:divBdr>
            <w:top w:val="none" w:sz="0" w:space="0" w:color="auto"/>
            <w:left w:val="none" w:sz="0" w:space="0" w:color="auto"/>
            <w:bottom w:val="none" w:sz="0" w:space="0" w:color="auto"/>
            <w:right w:val="none" w:sz="0" w:space="0" w:color="auto"/>
          </w:divBdr>
        </w:div>
        <w:div w:id="376707018">
          <w:marLeft w:val="0"/>
          <w:marRight w:val="0"/>
          <w:marTop w:val="0"/>
          <w:marBottom w:val="0"/>
          <w:divBdr>
            <w:top w:val="none" w:sz="0" w:space="0" w:color="auto"/>
            <w:left w:val="none" w:sz="0" w:space="0" w:color="auto"/>
            <w:bottom w:val="none" w:sz="0" w:space="0" w:color="auto"/>
            <w:right w:val="none" w:sz="0" w:space="0" w:color="auto"/>
          </w:divBdr>
        </w:div>
      </w:divsChild>
    </w:div>
    <w:div w:id="552473163">
      <w:bodyDiv w:val="1"/>
      <w:marLeft w:val="0"/>
      <w:marRight w:val="0"/>
      <w:marTop w:val="0"/>
      <w:marBottom w:val="0"/>
      <w:divBdr>
        <w:top w:val="none" w:sz="0" w:space="0" w:color="auto"/>
        <w:left w:val="none" w:sz="0" w:space="0" w:color="auto"/>
        <w:bottom w:val="none" w:sz="0" w:space="0" w:color="auto"/>
        <w:right w:val="none" w:sz="0" w:space="0" w:color="auto"/>
      </w:divBdr>
    </w:div>
    <w:div w:id="552543266">
      <w:bodyDiv w:val="1"/>
      <w:marLeft w:val="0"/>
      <w:marRight w:val="0"/>
      <w:marTop w:val="0"/>
      <w:marBottom w:val="0"/>
      <w:divBdr>
        <w:top w:val="none" w:sz="0" w:space="0" w:color="auto"/>
        <w:left w:val="none" w:sz="0" w:space="0" w:color="auto"/>
        <w:bottom w:val="none" w:sz="0" w:space="0" w:color="auto"/>
        <w:right w:val="none" w:sz="0" w:space="0" w:color="auto"/>
      </w:divBdr>
    </w:div>
    <w:div w:id="554124887">
      <w:bodyDiv w:val="1"/>
      <w:marLeft w:val="0"/>
      <w:marRight w:val="0"/>
      <w:marTop w:val="0"/>
      <w:marBottom w:val="0"/>
      <w:divBdr>
        <w:top w:val="none" w:sz="0" w:space="0" w:color="auto"/>
        <w:left w:val="none" w:sz="0" w:space="0" w:color="auto"/>
        <w:bottom w:val="none" w:sz="0" w:space="0" w:color="auto"/>
        <w:right w:val="none" w:sz="0" w:space="0" w:color="auto"/>
      </w:divBdr>
    </w:div>
    <w:div w:id="564490623">
      <w:bodyDiv w:val="1"/>
      <w:marLeft w:val="0"/>
      <w:marRight w:val="0"/>
      <w:marTop w:val="0"/>
      <w:marBottom w:val="0"/>
      <w:divBdr>
        <w:top w:val="none" w:sz="0" w:space="0" w:color="auto"/>
        <w:left w:val="none" w:sz="0" w:space="0" w:color="auto"/>
        <w:bottom w:val="none" w:sz="0" w:space="0" w:color="auto"/>
        <w:right w:val="none" w:sz="0" w:space="0" w:color="auto"/>
      </w:divBdr>
    </w:div>
    <w:div w:id="569075943">
      <w:bodyDiv w:val="1"/>
      <w:marLeft w:val="0"/>
      <w:marRight w:val="0"/>
      <w:marTop w:val="0"/>
      <w:marBottom w:val="0"/>
      <w:divBdr>
        <w:top w:val="none" w:sz="0" w:space="0" w:color="auto"/>
        <w:left w:val="none" w:sz="0" w:space="0" w:color="auto"/>
        <w:bottom w:val="none" w:sz="0" w:space="0" w:color="auto"/>
        <w:right w:val="none" w:sz="0" w:space="0" w:color="auto"/>
      </w:divBdr>
    </w:div>
    <w:div w:id="580795499">
      <w:bodyDiv w:val="1"/>
      <w:marLeft w:val="0"/>
      <w:marRight w:val="0"/>
      <w:marTop w:val="0"/>
      <w:marBottom w:val="0"/>
      <w:divBdr>
        <w:top w:val="none" w:sz="0" w:space="0" w:color="auto"/>
        <w:left w:val="none" w:sz="0" w:space="0" w:color="auto"/>
        <w:bottom w:val="none" w:sz="0" w:space="0" w:color="auto"/>
        <w:right w:val="none" w:sz="0" w:space="0" w:color="auto"/>
      </w:divBdr>
    </w:div>
    <w:div w:id="586618018">
      <w:bodyDiv w:val="1"/>
      <w:marLeft w:val="0"/>
      <w:marRight w:val="0"/>
      <w:marTop w:val="0"/>
      <w:marBottom w:val="0"/>
      <w:divBdr>
        <w:top w:val="none" w:sz="0" w:space="0" w:color="auto"/>
        <w:left w:val="none" w:sz="0" w:space="0" w:color="auto"/>
        <w:bottom w:val="none" w:sz="0" w:space="0" w:color="auto"/>
        <w:right w:val="none" w:sz="0" w:space="0" w:color="auto"/>
      </w:divBdr>
    </w:div>
    <w:div w:id="587884532">
      <w:bodyDiv w:val="1"/>
      <w:marLeft w:val="0"/>
      <w:marRight w:val="0"/>
      <w:marTop w:val="0"/>
      <w:marBottom w:val="0"/>
      <w:divBdr>
        <w:top w:val="none" w:sz="0" w:space="0" w:color="auto"/>
        <w:left w:val="none" w:sz="0" w:space="0" w:color="auto"/>
        <w:bottom w:val="none" w:sz="0" w:space="0" w:color="auto"/>
        <w:right w:val="none" w:sz="0" w:space="0" w:color="auto"/>
      </w:divBdr>
    </w:div>
    <w:div w:id="605770447">
      <w:bodyDiv w:val="1"/>
      <w:marLeft w:val="0"/>
      <w:marRight w:val="0"/>
      <w:marTop w:val="0"/>
      <w:marBottom w:val="0"/>
      <w:divBdr>
        <w:top w:val="none" w:sz="0" w:space="0" w:color="auto"/>
        <w:left w:val="none" w:sz="0" w:space="0" w:color="auto"/>
        <w:bottom w:val="none" w:sz="0" w:space="0" w:color="auto"/>
        <w:right w:val="none" w:sz="0" w:space="0" w:color="auto"/>
      </w:divBdr>
    </w:div>
    <w:div w:id="608782630">
      <w:bodyDiv w:val="1"/>
      <w:marLeft w:val="0"/>
      <w:marRight w:val="0"/>
      <w:marTop w:val="0"/>
      <w:marBottom w:val="0"/>
      <w:divBdr>
        <w:top w:val="none" w:sz="0" w:space="0" w:color="auto"/>
        <w:left w:val="none" w:sz="0" w:space="0" w:color="auto"/>
        <w:bottom w:val="none" w:sz="0" w:space="0" w:color="auto"/>
        <w:right w:val="none" w:sz="0" w:space="0" w:color="auto"/>
      </w:divBdr>
    </w:div>
    <w:div w:id="612178333">
      <w:bodyDiv w:val="1"/>
      <w:marLeft w:val="0"/>
      <w:marRight w:val="0"/>
      <w:marTop w:val="0"/>
      <w:marBottom w:val="0"/>
      <w:divBdr>
        <w:top w:val="none" w:sz="0" w:space="0" w:color="auto"/>
        <w:left w:val="none" w:sz="0" w:space="0" w:color="auto"/>
        <w:bottom w:val="none" w:sz="0" w:space="0" w:color="auto"/>
        <w:right w:val="none" w:sz="0" w:space="0" w:color="auto"/>
      </w:divBdr>
    </w:div>
    <w:div w:id="612784678">
      <w:bodyDiv w:val="1"/>
      <w:marLeft w:val="0"/>
      <w:marRight w:val="0"/>
      <w:marTop w:val="0"/>
      <w:marBottom w:val="0"/>
      <w:divBdr>
        <w:top w:val="none" w:sz="0" w:space="0" w:color="auto"/>
        <w:left w:val="none" w:sz="0" w:space="0" w:color="auto"/>
        <w:bottom w:val="none" w:sz="0" w:space="0" w:color="auto"/>
        <w:right w:val="none" w:sz="0" w:space="0" w:color="auto"/>
      </w:divBdr>
    </w:div>
    <w:div w:id="612984303">
      <w:bodyDiv w:val="1"/>
      <w:marLeft w:val="0"/>
      <w:marRight w:val="0"/>
      <w:marTop w:val="0"/>
      <w:marBottom w:val="0"/>
      <w:divBdr>
        <w:top w:val="none" w:sz="0" w:space="0" w:color="auto"/>
        <w:left w:val="none" w:sz="0" w:space="0" w:color="auto"/>
        <w:bottom w:val="none" w:sz="0" w:space="0" w:color="auto"/>
        <w:right w:val="none" w:sz="0" w:space="0" w:color="auto"/>
      </w:divBdr>
    </w:div>
    <w:div w:id="619066039">
      <w:bodyDiv w:val="1"/>
      <w:marLeft w:val="0"/>
      <w:marRight w:val="0"/>
      <w:marTop w:val="0"/>
      <w:marBottom w:val="0"/>
      <w:divBdr>
        <w:top w:val="none" w:sz="0" w:space="0" w:color="auto"/>
        <w:left w:val="none" w:sz="0" w:space="0" w:color="auto"/>
        <w:bottom w:val="none" w:sz="0" w:space="0" w:color="auto"/>
        <w:right w:val="none" w:sz="0" w:space="0" w:color="auto"/>
      </w:divBdr>
    </w:div>
    <w:div w:id="620109459">
      <w:bodyDiv w:val="1"/>
      <w:marLeft w:val="0"/>
      <w:marRight w:val="0"/>
      <w:marTop w:val="0"/>
      <w:marBottom w:val="0"/>
      <w:divBdr>
        <w:top w:val="none" w:sz="0" w:space="0" w:color="auto"/>
        <w:left w:val="none" w:sz="0" w:space="0" w:color="auto"/>
        <w:bottom w:val="none" w:sz="0" w:space="0" w:color="auto"/>
        <w:right w:val="none" w:sz="0" w:space="0" w:color="auto"/>
      </w:divBdr>
    </w:div>
    <w:div w:id="620888813">
      <w:bodyDiv w:val="1"/>
      <w:marLeft w:val="0"/>
      <w:marRight w:val="0"/>
      <w:marTop w:val="0"/>
      <w:marBottom w:val="0"/>
      <w:divBdr>
        <w:top w:val="none" w:sz="0" w:space="0" w:color="auto"/>
        <w:left w:val="none" w:sz="0" w:space="0" w:color="auto"/>
        <w:bottom w:val="none" w:sz="0" w:space="0" w:color="auto"/>
        <w:right w:val="none" w:sz="0" w:space="0" w:color="auto"/>
      </w:divBdr>
    </w:div>
    <w:div w:id="622883290">
      <w:bodyDiv w:val="1"/>
      <w:marLeft w:val="0"/>
      <w:marRight w:val="0"/>
      <w:marTop w:val="0"/>
      <w:marBottom w:val="0"/>
      <w:divBdr>
        <w:top w:val="none" w:sz="0" w:space="0" w:color="auto"/>
        <w:left w:val="none" w:sz="0" w:space="0" w:color="auto"/>
        <w:bottom w:val="none" w:sz="0" w:space="0" w:color="auto"/>
        <w:right w:val="none" w:sz="0" w:space="0" w:color="auto"/>
      </w:divBdr>
    </w:div>
    <w:div w:id="632910981">
      <w:bodyDiv w:val="1"/>
      <w:marLeft w:val="0"/>
      <w:marRight w:val="0"/>
      <w:marTop w:val="0"/>
      <w:marBottom w:val="0"/>
      <w:divBdr>
        <w:top w:val="none" w:sz="0" w:space="0" w:color="auto"/>
        <w:left w:val="none" w:sz="0" w:space="0" w:color="auto"/>
        <w:bottom w:val="none" w:sz="0" w:space="0" w:color="auto"/>
        <w:right w:val="none" w:sz="0" w:space="0" w:color="auto"/>
      </w:divBdr>
    </w:div>
    <w:div w:id="637147481">
      <w:bodyDiv w:val="1"/>
      <w:marLeft w:val="0"/>
      <w:marRight w:val="0"/>
      <w:marTop w:val="0"/>
      <w:marBottom w:val="0"/>
      <w:divBdr>
        <w:top w:val="none" w:sz="0" w:space="0" w:color="auto"/>
        <w:left w:val="none" w:sz="0" w:space="0" w:color="auto"/>
        <w:bottom w:val="none" w:sz="0" w:space="0" w:color="auto"/>
        <w:right w:val="none" w:sz="0" w:space="0" w:color="auto"/>
      </w:divBdr>
    </w:div>
    <w:div w:id="638150798">
      <w:bodyDiv w:val="1"/>
      <w:marLeft w:val="0"/>
      <w:marRight w:val="0"/>
      <w:marTop w:val="0"/>
      <w:marBottom w:val="0"/>
      <w:divBdr>
        <w:top w:val="none" w:sz="0" w:space="0" w:color="auto"/>
        <w:left w:val="none" w:sz="0" w:space="0" w:color="auto"/>
        <w:bottom w:val="none" w:sz="0" w:space="0" w:color="auto"/>
        <w:right w:val="none" w:sz="0" w:space="0" w:color="auto"/>
      </w:divBdr>
    </w:div>
    <w:div w:id="639309902">
      <w:bodyDiv w:val="1"/>
      <w:marLeft w:val="0"/>
      <w:marRight w:val="0"/>
      <w:marTop w:val="0"/>
      <w:marBottom w:val="0"/>
      <w:divBdr>
        <w:top w:val="none" w:sz="0" w:space="0" w:color="auto"/>
        <w:left w:val="none" w:sz="0" w:space="0" w:color="auto"/>
        <w:bottom w:val="none" w:sz="0" w:space="0" w:color="auto"/>
        <w:right w:val="none" w:sz="0" w:space="0" w:color="auto"/>
      </w:divBdr>
    </w:div>
    <w:div w:id="644966536">
      <w:bodyDiv w:val="1"/>
      <w:marLeft w:val="0"/>
      <w:marRight w:val="0"/>
      <w:marTop w:val="0"/>
      <w:marBottom w:val="0"/>
      <w:divBdr>
        <w:top w:val="none" w:sz="0" w:space="0" w:color="auto"/>
        <w:left w:val="none" w:sz="0" w:space="0" w:color="auto"/>
        <w:bottom w:val="none" w:sz="0" w:space="0" w:color="auto"/>
        <w:right w:val="none" w:sz="0" w:space="0" w:color="auto"/>
      </w:divBdr>
    </w:div>
    <w:div w:id="649023992">
      <w:bodyDiv w:val="1"/>
      <w:marLeft w:val="0"/>
      <w:marRight w:val="0"/>
      <w:marTop w:val="0"/>
      <w:marBottom w:val="0"/>
      <w:divBdr>
        <w:top w:val="none" w:sz="0" w:space="0" w:color="auto"/>
        <w:left w:val="none" w:sz="0" w:space="0" w:color="auto"/>
        <w:bottom w:val="none" w:sz="0" w:space="0" w:color="auto"/>
        <w:right w:val="none" w:sz="0" w:space="0" w:color="auto"/>
      </w:divBdr>
    </w:div>
    <w:div w:id="655840257">
      <w:bodyDiv w:val="1"/>
      <w:marLeft w:val="0"/>
      <w:marRight w:val="0"/>
      <w:marTop w:val="0"/>
      <w:marBottom w:val="0"/>
      <w:divBdr>
        <w:top w:val="none" w:sz="0" w:space="0" w:color="auto"/>
        <w:left w:val="none" w:sz="0" w:space="0" w:color="auto"/>
        <w:bottom w:val="none" w:sz="0" w:space="0" w:color="auto"/>
        <w:right w:val="none" w:sz="0" w:space="0" w:color="auto"/>
      </w:divBdr>
    </w:div>
    <w:div w:id="661393102">
      <w:bodyDiv w:val="1"/>
      <w:marLeft w:val="0"/>
      <w:marRight w:val="0"/>
      <w:marTop w:val="0"/>
      <w:marBottom w:val="0"/>
      <w:divBdr>
        <w:top w:val="none" w:sz="0" w:space="0" w:color="auto"/>
        <w:left w:val="none" w:sz="0" w:space="0" w:color="auto"/>
        <w:bottom w:val="none" w:sz="0" w:space="0" w:color="auto"/>
        <w:right w:val="none" w:sz="0" w:space="0" w:color="auto"/>
      </w:divBdr>
    </w:div>
    <w:div w:id="680812187">
      <w:bodyDiv w:val="1"/>
      <w:marLeft w:val="0"/>
      <w:marRight w:val="0"/>
      <w:marTop w:val="0"/>
      <w:marBottom w:val="0"/>
      <w:divBdr>
        <w:top w:val="none" w:sz="0" w:space="0" w:color="auto"/>
        <w:left w:val="none" w:sz="0" w:space="0" w:color="auto"/>
        <w:bottom w:val="none" w:sz="0" w:space="0" w:color="auto"/>
        <w:right w:val="none" w:sz="0" w:space="0" w:color="auto"/>
      </w:divBdr>
    </w:div>
    <w:div w:id="690643686">
      <w:bodyDiv w:val="1"/>
      <w:marLeft w:val="0"/>
      <w:marRight w:val="0"/>
      <w:marTop w:val="0"/>
      <w:marBottom w:val="0"/>
      <w:divBdr>
        <w:top w:val="none" w:sz="0" w:space="0" w:color="auto"/>
        <w:left w:val="none" w:sz="0" w:space="0" w:color="auto"/>
        <w:bottom w:val="none" w:sz="0" w:space="0" w:color="auto"/>
        <w:right w:val="none" w:sz="0" w:space="0" w:color="auto"/>
      </w:divBdr>
      <w:divsChild>
        <w:div w:id="26873068">
          <w:marLeft w:val="0"/>
          <w:marRight w:val="0"/>
          <w:marTop w:val="0"/>
          <w:marBottom w:val="0"/>
          <w:divBdr>
            <w:top w:val="none" w:sz="0" w:space="0" w:color="auto"/>
            <w:left w:val="none" w:sz="0" w:space="0" w:color="auto"/>
            <w:bottom w:val="none" w:sz="0" w:space="0" w:color="auto"/>
            <w:right w:val="none" w:sz="0" w:space="0" w:color="auto"/>
          </w:divBdr>
        </w:div>
        <w:div w:id="482817299">
          <w:marLeft w:val="0"/>
          <w:marRight w:val="0"/>
          <w:marTop w:val="0"/>
          <w:marBottom w:val="0"/>
          <w:divBdr>
            <w:top w:val="none" w:sz="0" w:space="0" w:color="auto"/>
            <w:left w:val="none" w:sz="0" w:space="0" w:color="auto"/>
            <w:bottom w:val="none" w:sz="0" w:space="0" w:color="auto"/>
            <w:right w:val="none" w:sz="0" w:space="0" w:color="auto"/>
          </w:divBdr>
        </w:div>
        <w:div w:id="609699680">
          <w:marLeft w:val="0"/>
          <w:marRight w:val="0"/>
          <w:marTop w:val="0"/>
          <w:marBottom w:val="0"/>
          <w:divBdr>
            <w:top w:val="none" w:sz="0" w:space="0" w:color="auto"/>
            <w:left w:val="none" w:sz="0" w:space="0" w:color="auto"/>
            <w:bottom w:val="none" w:sz="0" w:space="0" w:color="auto"/>
            <w:right w:val="none" w:sz="0" w:space="0" w:color="auto"/>
          </w:divBdr>
        </w:div>
        <w:div w:id="776675103">
          <w:marLeft w:val="0"/>
          <w:marRight w:val="0"/>
          <w:marTop w:val="0"/>
          <w:marBottom w:val="0"/>
          <w:divBdr>
            <w:top w:val="none" w:sz="0" w:space="0" w:color="auto"/>
            <w:left w:val="none" w:sz="0" w:space="0" w:color="auto"/>
            <w:bottom w:val="none" w:sz="0" w:space="0" w:color="auto"/>
            <w:right w:val="none" w:sz="0" w:space="0" w:color="auto"/>
          </w:divBdr>
        </w:div>
        <w:div w:id="892737785">
          <w:marLeft w:val="0"/>
          <w:marRight w:val="0"/>
          <w:marTop w:val="0"/>
          <w:marBottom w:val="0"/>
          <w:divBdr>
            <w:top w:val="none" w:sz="0" w:space="0" w:color="auto"/>
            <w:left w:val="none" w:sz="0" w:space="0" w:color="auto"/>
            <w:bottom w:val="none" w:sz="0" w:space="0" w:color="auto"/>
            <w:right w:val="none" w:sz="0" w:space="0" w:color="auto"/>
          </w:divBdr>
        </w:div>
        <w:div w:id="1231772288">
          <w:marLeft w:val="0"/>
          <w:marRight w:val="0"/>
          <w:marTop w:val="0"/>
          <w:marBottom w:val="0"/>
          <w:divBdr>
            <w:top w:val="none" w:sz="0" w:space="0" w:color="auto"/>
            <w:left w:val="none" w:sz="0" w:space="0" w:color="auto"/>
            <w:bottom w:val="none" w:sz="0" w:space="0" w:color="auto"/>
            <w:right w:val="none" w:sz="0" w:space="0" w:color="auto"/>
          </w:divBdr>
        </w:div>
        <w:div w:id="1265382464">
          <w:marLeft w:val="0"/>
          <w:marRight w:val="0"/>
          <w:marTop w:val="0"/>
          <w:marBottom w:val="0"/>
          <w:divBdr>
            <w:top w:val="none" w:sz="0" w:space="0" w:color="auto"/>
            <w:left w:val="none" w:sz="0" w:space="0" w:color="auto"/>
            <w:bottom w:val="none" w:sz="0" w:space="0" w:color="auto"/>
            <w:right w:val="none" w:sz="0" w:space="0" w:color="auto"/>
          </w:divBdr>
        </w:div>
        <w:div w:id="1528106456">
          <w:marLeft w:val="0"/>
          <w:marRight w:val="0"/>
          <w:marTop w:val="0"/>
          <w:marBottom w:val="0"/>
          <w:divBdr>
            <w:top w:val="none" w:sz="0" w:space="0" w:color="auto"/>
            <w:left w:val="none" w:sz="0" w:space="0" w:color="auto"/>
            <w:bottom w:val="none" w:sz="0" w:space="0" w:color="auto"/>
            <w:right w:val="none" w:sz="0" w:space="0" w:color="auto"/>
          </w:divBdr>
        </w:div>
        <w:div w:id="1922829898">
          <w:marLeft w:val="0"/>
          <w:marRight w:val="0"/>
          <w:marTop w:val="0"/>
          <w:marBottom w:val="0"/>
          <w:divBdr>
            <w:top w:val="none" w:sz="0" w:space="0" w:color="auto"/>
            <w:left w:val="none" w:sz="0" w:space="0" w:color="auto"/>
            <w:bottom w:val="none" w:sz="0" w:space="0" w:color="auto"/>
            <w:right w:val="none" w:sz="0" w:space="0" w:color="auto"/>
          </w:divBdr>
        </w:div>
        <w:div w:id="1947883191">
          <w:marLeft w:val="0"/>
          <w:marRight w:val="0"/>
          <w:marTop w:val="0"/>
          <w:marBottom w:val="0"/>
          <w:divBdr>
            <w:top w:val="none" w:sz="0" w:space="0" w:color="auto"/>
            <w:left w:val="none" w:sz="0" w:space="0" w:color="auto"/>
            <w:bottom w:val="none" w:sz="0" w:space="0" w:color="auto"/>
            <w:right w:val="none" w:sz="0" w:space="0" w:color="auto"/>
          </w:divBdr>
        </w:div>
        <w:div w:id="1966767473">
          <w:marLeft w:val="0"/>
          <w:marRight w:val="0"/>
          <w:marTop w:val="0"/>
          <w:marBottom w:val="0"/>
          <w:divBdr>
            <w:top w:val="none" w:sz="0" w:space="0" w:color="auto"/>
            <w:left w:val="none" w:sz="0" w:space="0" w:color="auto"/>
            <w:bottom w:val="none" w:sz="0" w:space="0" w:color="auto"/>
            <w:right w:val="none" w:sz="0" w:space="0" w:color="auto"/>
          </w:divBdr>
        </w:div>
      </w:divsChild>
    </w:div>
    <w:div w:id="697580770">
      <w:bodyDiv w:val="1"/>
      <w:marLeft w:val="0"/>
      <w:marRight w:val="0"/>
      <w:marTop w:val="0"/>
      <w:marBottom w:val="0"/>
      <w:divBdr>
        <w:top w:val="none" w:sz="0" w:space="0" w:color="auto"/>
        <w:left w:val="none" w:sz="0" w:space="0" w:color="auto"/>
        <w:bottom w:val="none" w:sz="0" w:space="0" w:color="auto"/>
        <w:right w:val="none" w:sz="0" w:space="0" w:color="auto"/>
      </w:divBdr>
    </w:div>
    <w:div w:id="702512138">
      <w:bodyDiv w:val="1"/>
      <w:marLeft w:val="0"/>
      <w:marRight w:val="0"/>
      <w:marTop w:val="0"/>
      <w:marBottom w:val="0"/>
      <w:divBdr>
        <w:top w:val="none" w:sz="0" w:space="0" w:color="auto"/>
        <w:left w:val="none" w:sz="0" w:space="0" w:color="auto"/>
        <w:bottom w:val="none" w:sz="0" w:space="0" w:color="auto"/>
        <w:right w:val="none" w:sz="0" w:space="0" w:color="auto"/>
      </w:divBdr>
    </w:div>
    <w:div w:id="703218589">
      <w:bodyDiv w:val="1"/>
      <w:marLeft w:val="0"/>
      <w:marRight w:val="0"/>
      <w:marTop w:val="0"/>
      <w:marBottom w:val="0"/>
      <w:divBdr>
        <w:top w:val="none" w:sz="0" w:space="0" w:color="auto"/>
        <w:left w:val="none" w:sz="0" w:space="0" w:color="auto"/>
        <w:bottom w:val="none" w:sz="0" w:space="0" w:color="auto"/>
        <w:right w:val="none" w:sz="0" w:space="0" w:color="auto"/>
      </w:divBdr>
    </w:div>
    <w:div w:id="719279633">
      <w:bodyDiv w:val="1"/>
      <w:marLeft w:val="0"/>
      <w:marRight w:val="0"/>
      <w:marTop w:val="0"/>
      <w:marBottom w:val="0"/>
      <w:divBdr>
        <w:top w:val="none" w:sz="0" w:space="0" w:color="auto"/>
        <w:left w:val="none" w:sz="0" w:space="0" w:color="auto"/>
        <w:bottom w:val="none" w:sz="0" w:space="0" w:color="auto"/>
        <w:right w:val="none" w:sz="0" w:space="0" w:color="auto"/>
      </w:divBdr>
    </w:div>
    <w:div w:id="720134792">
      <w:bodyDiv w:val="1"/>
      <w:marLeft w:val="0"/>
      <w:marRight w:val="0"/>
      <w:marTop w:val="0"/>
      <w:marBottom w:val="0"/>
      <w:divBdr>
        <w:top w:val="none" w:sz="0" w:space="0" w:color="auto"/>
        <w:left w:val="none" w:sz="0" w:space="0" w:color="auto"/>
        <w:bottom w:val="none" w:sz="0" w:space="0" w:color="auto"/>
        <w:right w:val="none" w:sz="0" w:space="0" w:color="auto"/>
      </w:divBdr>
    </w:div>
    <w:div w:id="720135129">
      <w:bodyDiv w:val="1"/>
      <w:marLeft w:val="0"/>
      <w:marRight w:val="0"/>
      <w:marTop w:val="0"/>
      <w:marBottom w:val="0"/>
      <w:divBdr>
        <w:top w:val="none" w:sz="0" w:space="0" w:color="auto"/>
        <w:left w:val="none" w:sz="0" w:space="0" w:color="auto"/>
        <w:bottom w:val="none" w:sz="0" w:space="0" w:color="auto"/>
        <w:right w:val="none" w:sz="0" w:space="0" w:color="auto"/>
      </w:divBdr>
      <w:divsChild>
        <w:div w:id="604651092">
          <w:marLeft w:val="0"/>
          <w:marRight w:val="0"/>
          <w:marTop w:val="0"/>
          <w:marBottom w:val="0"/>
          <w:divBdr>
            <w:top w:val="none" w:sz="0" w:space="0" w:color="auto"/>
            <w:left w:val="none" w:sz="0" w:space="0" w:color="auto"/>
            <w:bottom w:val="none" w:sz="0" w:space="0" w:color="auto"/>
            <w:right w:val="none" w:sz="0" w:space="0" w:color="auto"/>
          </w:divBdr>
          <w:divsChild>
            <w:div w:id="1052273579">
              <w:marLeft w:val="0"/>
              <w:marRight w:val="0"/>
              <w:marTop w:val="0"/>
              <w:marBottom w:val="0"/>
              <w:divBdr>
                <w:top w:val="none" w:sz="0" w:space="0" w:color="auto"/>
                <w:left w:val="none" w:sz="0" w:space="0" w:color="auto"/>
                <w:bottom w:val="none" w:sz="0" w:space="0" w:color="auto"/>
                <w:right w:val="none" w:sz="0" w:space="0" w:color="auto"/>
              </w:divBdr>
              <w:divsChild>
                <w:div w:id="742797861">
                  <w:marLeft w:val="0"/>
                  <w:marRight w:val="0"/>
                  <w:marTop w:val="0"/>
                  <w:marBottom w:val="0"/>
                  <w:divBdr>
                    <w:top w:val="none" w:sz="0" w:space="0" w:color="auto"/>
                    <w:left w:val="none" w:sz="0" w:space="0" w:color="auto"/>
                    <w:bottom w:val="none" w:sz="0" w:space="0" w:color="auto"/>
                    <w:right w:val="none" w:sz="0" w:space="0" w:color="auto"/>
                  </w:divBdr>
                  <w:divsChild>
                    <w:div w:id="1158304578">
                      <w:marLeft w:val="0"/>
                      <w:marRight w:val="0"/>
                      <w:marTop w:val="0"/>
                      <w:marBottom w:val="0"/>
                      <w:divBdr>
                        <w:top w:val="none" w:sz="0" w:space="0" w:color="auto"/>
                        <w:left w:val="none" w:sz="0" w:space="0" w:color="auto"/>
                        <w:bottom w:val="none" w:sz="0" w:space="0" w:color="auto"/>
                        <w:right w:val="none" w:sz="0" w:space="0" w:color="auto"/>
                      </w:divBdr>
                      <w:divsChild>
                        <w:div w:id="1274706951">
                          <w:marLeft w:val="0"/>
                          <w:marRight w:val="0"/>
                          <w:marTop w:val="0"/>
                          <w:marBottom w:val="0"/>
                          <w:divBdr>
                            <w:top w:val="none" w:sz="0" w:space="0" w:color="auto"/>
                            <w:left w:val="none" w:sz="0" w:space="0" w:color="auto"/>
                            <w:bottom w:val="none" w:sz="0" w:space="0" w:color="auto"/>
                            <w:right w:val="none" w:sz="0" w:space="0" w:color="auto"/>
                          </w:divBdr>
                          <w:divsChild>
                            <w:div w:id="1510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978650">
      <w:bodyDiv w:val="1"/>
      <w:marLeft w:val="0"/>
      <w:marRight w:val="0"/>
      <w:marTop w:val="0"/>
      <w:marBottom w:val="0"/>
      <w:divBdr>
        <w:top w:val="none" w:sz="0" w:space="0" w:color="auto"/>
        <w:left w:val="none" w:sz="0" w:space="0" w:color="auto"/>
        <w:bottom w:val="none" w:sz="0" w:space="0" w:color="auto"/>
        <w:right w:val="none" w:sz="0" w:space="0" w:color="auto"/>
      </w:divBdr>
    </w:div>
    <w:div w:id="722757017">
      <w:bodyDiv w:val="1"/>
      <w:marLeft w:val="0"/>
      <w:marRight w:val="0"/>
      <w:marTop w:val="0"/>
      <w:marBottom w:val="0"/>
      <w:divBdr>
        <w:top w:val="none" w:sz="0" w:space="0" w:color="auto"/>
        <w:left w:val="none" w:sz="0" w:space="0" w:color="auto"/>
        <w:bottom w:val="none" w:sz="0" w:space="0" w:color="auto"/>
        <w:right w:val="none" w:sz="0" w:space="0" w:color="auto"/>
      </w:divBdr>
    </w:div>
    <w:div w:id="728379784">
      <w:bodyDiv w:val="1"/>
      <w:marLeft w:val="0"/>
      <w:marRight w:val="0"/>
      <w:marTop w:val="0"/>
      <w:marBottom w:val="0"/>
      <w:divBdr>
        <w:top w:val="none" w:sz="0" w:space="0" w:color="auto"/>
        <w:left w:val="none" w:sz="0" w:space="0" w:color="auto"/>
        <w:bottom w:val="none" w:sz="0" w:space="0" w:color="auto"/>
        <w:right w:val="none" w:sz="0" w:space="0" w:color="auto"/>
      </w:divBdr>
      <w:divsChild>
        <w:div w:id="1963262000">
          <w:marLeft w:val="0"/>
          <w:marRight w:val="0"/>
          <w:marTop w:val="0"/>
          <w:marBottom w:val="0"/>
          <w:divBdr>
            <w:top w:val="none" w:sz="0" w:space="0" w:color="auto"/>
            <w:left w:val="none" w:sz="0" w:space="0" w:color="auto"/>
            <w:bottom w:val="none" w:sz="0" w:space="0" w:color="auto"/>
            <w:right w:val="none" w:sz="0" w:space="0" w:color="auto"/>
          </w:divBdr>
          <w:divsChild>
            <w:div w:id="149295271">
              <w:marLeft w:val="0"/>
              <w:marRight w:val="0"/>
              <w:marTop w:val="0"/>
              <w:marBottom w:val="0"/>
              <w:divBdr>
                <w:top w:val="none" w:sz="0" w:space="0" w:color="auto"/>
                <w:left w:val="none" w:sz="0" w:space="0" w:color="auto"/>
                <w:bottom w:val="none" w:sz="0" w:space="0" w:color="auto"/>
                <w:right w:val="none" w:sz="0" w:space="0" w:color="auto"/>
              </w:divBdr>
              <w:divsChild>
                <w:div w:id="433399888">
                  <w:marLeft w:val="0"/>
                  <w:marRight w:val="0"/>
                  <w:marTop w:val="0"/>
                  <w:marBottom w:val="0"/>
                  <w:divBdr>
                    <w:top w:val="none" w:sz="0" w:space="0" w:color="auto"/>
                    <w:left w:val="none" w:sz="0" w:space="0" w:color="auto"/>
                    <w:bottom w:val="none" w:sz="0" w:space="0" w:color="auto"/>
                    <w:right w:val="none" w:sz="0" w:space="0" w:color="auto"/>
                  </w:divBdr>
                  <w:divsChild>
                    <w:div w:id="7892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37254">
      <w:bodyDiv w:val="1"/>
      <w:marLeft w:val="0"/>
      <w:marRight w:val="0"/>
      <w:marTop w:val="0"/>
      <w:marBottom w:val="0"/>
      <w:divBdr>
        <w:top w:val="none" w:sz="0" w:space="0" w:color="auto"/>
        <w:left w:val="none" w:sz="0" w:space="0" w:color="auto"/>
        <w:bottom w:val="none" w:sz="0" w:space="0" w:color="auto"/>
        <w:right w:val="none" w:sz="0" w:space="0" w:color="auto"/>
      </w:divBdr>
    </w:div>
    <w:div w:id="741756505">
      <w:bodyDiv w:val="1"/>
      <w:marLeft w:val="0"/>
      <w:marRight w:val="0"/>
      <w:marTop w:val="0"/>
      <w:marBottom w:val="0"/>
      <w:divBdr>
        <w:top w:val="none" w:sz="0" w:space="0" w:color="auto"/>
        <w:left w:val="none" w:sz="0" w:space="0" w:color="auto"/>
        <w:bottom w:val="none" w:sz="0" w:space="0" w:color="auto"/>
        <w:right w:val="none" w:sz="0" w:space="0" w:color="auto"/>
      </w:divBdr>
    </w:div>
    <w:div w:id="745148019">
      <w:bodyDiv w:val="1"/>
      <w:marLeft w:val="0"/>
      <w:marRight w:val="0"/>
      <w:marTop w:val="0"/>
      <w:marBottom w:val="0"/>
      <w:divBdr>
        <w:top w:val="none" w:sz="0" w:space="0" w:color="auto"/>
        <w:left w:val="none" w:sz="0" w:space="0" w:color="auto"/>
        <w:bottom w:val="none" w:sz="0" w:space="0" w:color="auto"/>
        <w:right w:val="none" w:sz="0" w:space="0" w:color="auto"/>
      </w:divBdr>
    </w:div>
    <w:div w:id="748425198">
      <w:bodyDiv w:val="1"/>
      <w:marLeft w:val="0"/>
      <w:marRight w:val="0"/>
      <w:marTop w:val="0"/>
      <w:marBottom w:val="0"/>
      <w:divBdr>
        <w:top w:val="none" w:sz="0" w:space="0" w:color="auto"/>
        <w:left w:val="none" w:sz="0" w:space="0" w:color="auto"/>
        <w:bottom w:val="none" w:sz="0" w:space="0" w:color="auto"/>
        <w:right w:val="none" w:sz="0" w:space="0" w:color="auto"/>
      </w:divBdr>
    </w:div>
    <w:div w:id="752360754">
      <w:bodyDiv w:val="1"/>
      <w:marLeft w:val="0"/>
      <w:marRight w:val="0"/>
      <w:marTop w:val="0"/>
      <w:marBottom w:val="0"/>
      <w:divBdr>
        <w:top w:val="none" w:sz="0" w:space="0" w:color="auto"/>
        <w:left w:val="none" w:sz="0" w:space="0" w:color="auto"/>
        <w:bottom w:val="none" w:sz="0" w:space="0" w:color="auto"/>
        <w:right w:val="none" w:sz="0" w:space="0" w:color="auto"/>
      </w:divBdr>
    </w:div>
    <w:div w:id="759722249">
      <w:bodyDiv w:val="1"/>
      <w:marLeft w:val="0"/>
      <w:marRight w:val="0"/>
      <w:marTop w:val="0"/>
      <w:marBottom w:val="0"/>
      <w:divBdr>
        <w:top w:val="none" w:sz="0" w:space="0" w:color="auto"/>
        <w:left w:val="none" w:sz="0" w:space="0" w:color="auto"/>
        <w:bottom w:val="none" w:sz="0" w:space="0" w:color="auto"/>
        <w:right w:val="none" w:sz="0" w:space="0" w:color="auto"/>
      </w:divBdr>
    </w:div>
    <w:div w:id="761612059">
      <w:bodyDiv w:val="1"/>
      <w:marLeft w:val="0"/>
      <w:marRight w:val="0"/>
      <w:marTop w:val="0"/>
      <w:marBottom w:val="0"/>
      <w:divBdr>
        <w:top w:val="none" w:sz="0" w:space="0" w:color="auto"/>
        <w:left w:val="none" w:sz="0" w:space="0" w:color="auto"/>
        <w:bottom w:val="none" w:sz="0" w:space="0" w:color="auto"/>
        <w:right w:val="none" w:sz="0" w:space="0" w:color="auto"/>
      </w:divBdr>
    </w:div>
    <w:div w:id="762263363">
      <w:bodyDiv w:val="1"/>
      <w:marLeft w:val="0"/>
      <w:marRight w:val="0"/>
      <w:marTop w:val="0"/>
      <w:marBottom w:val="0"/>
      <w:divBdr>
        <w:top w:val="none" w:sz="0" w:space="0" w:color="auto"/>
        <w:left w:val="none" w:sz="0" w:space="0" w:color="auto"/>
        <w:bottom w:val="none" w:sz="0" w:space="0" w:color="auto"/>
        <w:right w:val="none" w:sz="0" w:space="0" w:color="auto"/>
      </w:divBdr>
    </w:div>
    <w:div w:id="765033562">
      <w:bodyDiv w:val="1"/>
      <w:marLeft w:val="0"/>
      <w:marRight w:val="0"/>
      <w:marTop w:val="0"/>
      <w:marBottom w:val="0"/>
      <w:divBdr>
        <w:top w:val="none" w:sz="0" w:space="0" w:color="auto"/>
        <w:left w:val="none" w:sz="0" w:space="0" w:color="auto"/>
        <w:bottom w:val="none" w:sz="0" w:space="0" w:color="auto"/>
        <w:right w:val="none" w:sz="0" w:space="0" w:color="auto"/>
      </w:divBdr>
      <w:divsChild>
        <w:div w:id="12928061">
          <w:marLeft w:val="0"/>
          <w:marRight w:val="0"/>
          <w:marTop w:val="0"/>
          <w:marBottom w:val="0"/>
          <w:divBdr>
            <w:top w:val="none" w:sz="0" w:space="0" w:color="auto"/>
            <w:left w:val="none" w:sz="0" w:space="0" w:color="auto"/>
            <w:bottom w:val="none" w:sz="0" w:space="0" w:color="auto"/>
            <w:right w:val="none" w:sz="0" w:space="0" w:color="auto"/>
          </w:divBdr>
          <w:divsChild>
            <w:div w:id="113716287">
              <w:marLeft w:val="0"/>
              <w:marRight w:val="0"/>
              <w:marTop w:val="0"/>
              <w:marBottom w:val="0"/>
              <w:divBdr>
                <w:top w:val="none" w:sz="0" w:space="0" w:color="auto"/>
                <w:left w:val="none" w:sz="0" w:space="0" w:color="auto"/>
                <w:bottom w:val="none" w:sz="0" w:space="0" w:color="auto"/>
                <w:right w:val="none" w:sz="0" w:space="0" w:color="auto"/>
              </w:divBdr>
            </w:div>
            <w:div w:id="436364402">
              <w:marLeft w:val="0"/>
              <w:marRight w:val="0"/>
              <w:marTop w:val="0"/>
              <w:marBottom w:val="0"/>
              <w:divBdr>
                <w:top w:val="none" w:sz="0" w:space="0" w:color="auto"/>
                <w:left w:val="none" w:sz="0" w:space="0" w:color="auto"/>
                <w:bottom w:val="none" w:sz="0" w:space="0" w:color="auto"/>
                <w:right w:val="none" w:sz="0" w:space="0" w:color="auto"/>
              </w:divBdr>
            </w:div>
            <w:div w:id="1920671069">
              <w:marLeft w:val="0"/>
              <w:marRight w:val="0"/>
              <w:marTop w:val="0"/>
              <w:marBottom w:val="0"/>
              <w:divBdr>
                <w:top w:val="none" w:sz="0" w:space="0" w:color="auto"/>
                <w:left w:val="none" w:sz="0" w:space="0" w:color="auto"/>
                <w:bottom w:val="none" w:sz="0" w:space="0" w:color="auto"/>
                <w:right w:val="none" w:sz="0" w:space="0" w:color="auto"/>
              </w:divBdr>
            </w:div>
          </w:divsChild>
        </w:div>
        <w:div w:id="74672150">
          <w:marLeft w:val="0"/>
          <w:marRight w:val="0"/>
          <w:marTop w:val="0"/>
          <w:marBottom w:val="0"/>
          <w:divBdr>
            <w:top w:val="none" w:sz="0" w:space="0" w:color="auto"/>
            <w:left w:val="none" w:sz="0" w:space="0" w:color="auto"/>
            <w:bottom w:val="none" w:sz="0" w:space="0" w:color="auto"/>
            <w:right w:val="none" w:sz="0" w:space="0" w:color="auto"/>
          </w:divBdr>
          <w:divsChild>
            <w:div w:id="46998627">
              <w:marLeft w:val="0"/>
              <w:marRight w:val="0"/>
              <w:marTop w:val="0"/>
              <w:marBottom w:val="0"/>
              <w:divBdr>
                <w:top w:val="none" w:sz="0" w:space="0" w:color="auto"/>
                <w:left w:val="none" w:sz="0" w:space="0" w:color="auto"/>
                <w:bottom w:val="none" w:sz="0" w:space="0" w:color="auto"/>
                <w:right w:val="none" w:sz="0" w:space="0" w:color="auto"/>
              </w:divBdr>
            </w:div>
          </w:divsChild>
        </w:div>
        <w:div w:id="138614572">
          <w:marLeft w:val="0"/>
          <w:marRight w:val="0"/>
          <w:marTop w:val="0"/>
          <w:marBottom w:val="0"/>
          <w:divBdr>
            <w:top w:val="none" w:sz="0" w:space="0" w:color="auto"/>
            <w:left w:val="none" w:sz="0" w:space="0" w:color="auto"/>
            <w:bottom w:val="none" w:sz="0" w:space="0" w:color="auto"/>
            <w:right w:val="none" w:sz="0" w:space="0" w:color="auto"/>
          </w:divBdr>
          <w:divsChild>
            <w:div w:id="1879201651">
              <w:marLeft w:val="0"/>
              <w:marRight w:val="0"/>
              <w:marTop w:val="0"/>
              <w:marBottom w:val="0"/>
              <w:divBdr>
                <w:top w:val="none" w:sz="0" w:space="0" w:color="auto"/>
                <w:left w:val="none" w:sz="0" w:space="0" w:color="auto"/>
                <w:bottom w:val="none" w:sz="0" w:space="0" w:color="auto"/>
                <w:right w:val="none" w:sz="0" w:space="0" w:color="auto"/>
              </w:divBdr>
            </w:div>
          </w:divsChild>
        </w:div>
        <w:div w:id="195778759">
          <w:marLeft w:val="0"/>
          <w:marRight w:val="0"/>
          <w:marTop w:val="0"/>
          <w:marBottom w:val="0"/>
          <w:divBdr>
            <w:top w:val="none" w:sz="0" w:space="0" w:color="auto"/>
            <w:left w:val="none" w:sz="0" w:space="0" w:color="auto"/>
            <w:bottom w:val="none" w:sz="0" w:space="0" w:color="auto"/>
            <w:right w:val="none" w:sz="0" w:space="0" w:color="auto"/>
          </w:divBdr>
          <w:divsChild>
            <w:div w:id="691884955">
              <w:marLeft w:val="0"/>
              <w:marRight w:val="0"/>
              <w:marTop w:val="0"/>
              <w:marBottom w:val="0"/>
              <w:divBdr>
                <w:top w:val="none" w:sz="0" w:space="0" w:color="auto"/>
                <w:left w:val="none" w:sz="0" w:space="0" w:color="auto"/>
                <w:bottom w:val="none" w:sz="0" w:space="0" w:color="auto"/>
                <w:right w:val="none" w:sz="0" w:space="0" w:color="auto"/>
              </w:divBdr>
            </w:div>
          </w:divsChild>
        </w:div>
        <w:div w:id="336422494">
          <w:marLeft w:val="0"/>
          <w:marRight w:val="0"/>
          <w:marTop w:val="0"/>
          <w:marBottom w:val="0"/>
          <w:divBdr>
            <w:top w:val="none" w:sz="0" w:space="0" w:color="auto"/>
            <w:left w:val="none" w:sz="0" w:space="0" w:color="auto"/>
            <w:bottom w:val="none" w:sz="0" w:space="0" w:color="auto"/>
            <w:right w:val="none" w:sz="0" w:space="0" w:color="auto"/>
          </w:divBdr>
          <w:divsChild>
            <w:div w:id="460420129">
              <w:marLeft w:val="0"/>
              <w:marRight w:val="0"/>
              <w:marTop w:val="0"/>
              <w:marBottom w:val="0"/>
              <w:divBdr>
                <w:top w:val="none" w:sz="0" w:space="0" w:color="auto"/>
                <w:left w:val="none" w:sz="0" w:space="0" w:color="auto"/>
                <w:bottom w:val="none" w:sz="0" w:space="0" w:color="auto"/>
                <w:right w:val="none" w:sz="0" w:space="0" w:color="auto"/>
              </w:divBdr>
            </w:div>
            <w:div w:id="569852977">
              <w:marLeft w:val="0"/>
              <w:marRight w:val="0"/>
              <w:marTop w:val="0"/>
              <w:marBottom w:val="0"/>
              <w:divBdr>
                <w:top w:val="none" w:sz="0" w:space="0" w:color="auto"/>
                <w:left w:val="none" w:sz="0" w:space="0" w:color="auto"/>
                <w:bottom w:val="none" w:sz="0" w:space="0" w:color="auto"/>
                <w:right w:val="none" w:sz="0" w:space="0" w:color="auto"/>
              </w:divBdr>
            </w:div>
            <w:div w:id="1239250730">
              <w:marLeft w:val="0"/>
              <w:marRight w:val="0"/>
              <w:marTop w:val="0"/>
              <w:marBottom w:val="0"/>
              <w:divBdr>
                <w:top w:val="none" w:sz="0" w:space="0" w:color="auto"/>
                <w:left w:val="none" w:sz="0" w:space="0" w:color="auto"/>
                <w:bottom w:val="none" w:sz="0" w:space="0" w:color="auto"/>
                <w:right w:val="none" w:sz="0" w:space="0" w:color="auto"/>
              </w:divBdr>
            </w:div>
            <w:div w:id="1243682861">
              <w:marLeft w:val="0"/>
              <w:marRight w:val="0"/>
              <w:marTop w:val="0"/>
              <w:marBottom w:val="0"/>
              <w:divBdr>
                <w:top w:val="none" w:sz="0" w:space="0" w:color="auto"/>
                <w:left w:val="none" w:sz="0" w:space="0" w:color="auto"/>
                <w:bottom w:val="none" w:sz="0" w:space="0" w:color="auto"/>
                <w:right w:val="none" w:sz="0" w:space="0" w:color="auto"/>
              </w:divBdr>
            </w:div>
          </w:divsChild>
        </w:div>
        <w:div w:id="479427136">
          <w:marLeft w:val="0"/>
          <w:marRight w:val="0"/>
          <w:marTop w:val="0"/>
          <w:marBottom w:val="0"/>
          <w:divBdr>
            <w:top w:val="none" w:sz="0" w:space="0" w:color="auto"/>
            <w:left w:val="none" w:sz="0" w:space="0" w:color="auto"/>
            <w:bottom w:val="none" w:sz="0" w:space="0" w:color="auto"/>
            <w:right w:val="none" w:sz="0" w:space="0" w:color="auto"/>
          </w:divBdr>
          <w:divsChild>
            <w:div w:id="1659921679">
              <w:marLeft w:val="0"/>
              <w:marRight w:val="0"/>
              <w:marTop w:val="0"/>
              <w:marBottom w:val="0"/>
              <w:divBdr>
                <w:top w:val="none" w:sz="0" w:space="0" w:color="auto"/>
                <w:left w:val="none" w:sz="0" w:space="0" w:color="auto"/>
                <w:bottom w:val="none" w:sz="0" w:space="0" w:color="auto"/>
                <w:right w:val="none" w:sz="0" w:space="0" w:color="auto"/>
              </w:divBdr>
            </w:div>
          </w:divsChild>
        </w:div>
        <w:div w:id="705830832">
          <w:marLeft w:val="0"/>
          <w:marRight w:val="0"/>
          <w:marTop w:val="0"/>
          <w:marBottom w:val="0"/>
          <w:divBdr>
            <w:top w:val="none" w:sz="0" w:space="0" w:color="auto"/>
            <w:left w:val="none" w:sz="0" w:space="0" w:color="auto"/>
            <w:bottom w:val="none" w:sz="0" w:space="0" w:color="auto"/>
            <w:right w:val="none" w:sz="0" w:space="0" w:color="auto"/>
          </w:divBdr>
          <w:divsChild>
            <w:div w:id="1485707500">
              <w:marLeft w:val="0"/>
              <w:marRight w:val="0"/>
              <w:marTop w:val="0"/>
              <w:marBottom w:val="0"/>
              <w:divBdr>
                <w:top w:val="none" w:sz="0" w:space="0" w:color="auto"/>
                <w:left w:val="none" w:sz="0" w:space="0" w:color="auto"/>
                <w:bottom w:val="none" w:sz="0" w:space="0" w:color="auto"/>
                <w:right w:val="none" w:sz="0" w:space="0" w:color="auto"/>
              </w:divBdr>
            </w:div>
          </w:divsChild>
        </w:div>
        <w:div w:id="746346010">
          <w:marLeft w:val="0"/>
          <w:marRight w:val="0"/>
          <w:marTop w:val="0"/>
          <w:marBottom w:val="0"/>
          <w:divBdr>
            <w:top w:val="none" w:sz="0" w:space="0" w:color="auto"/>
            <w:left w:val="none" w:sz="0" w:space="0" w:color="auto"/>
            <w:bottom w:val="none" w:sz="0" w:space="0" w:color="auto"/>
            <w:right w:val="none" w:sz="0" w:space="0" w:color="auto"/>
          </w:divBdr>
          <w:divsChild>
            <w:div w:id="270862287">
              <w:marLeft w:val="0"/>
              <w:marRight w:val="0"/>
              <w:marTop w:val="0"/>
              <w:marBottom w:val="0"/>
              <w:divBdr>
                <w:top w:val="none" w:sz="0" w:space="0" w:color="auto"/>
                <w:left w:val="none" w:sz="0" w:space="0" w:color="auto"/>
                <w:bottom w:val="none" w:sz="0" w:space="0" w:color="auto"/>
                <w:right w:val="none" w:sz="0" w:space="0" w:color="auto"/>
              </w:divBdr>
            </w:div>
          </w:divsChild>
        </w:div>
        <w:div w:id="1001661885">
          <w:marLeft w:val="0"/>
          <w:marRight w:val="0"/>
          <w:marTop w:val="0"/>
          <w:marBottom w:val="0"/>
          <w:divBdr>
            <w:top w:val="none" w:sz="0" w:space="0" w:color="auto"/>
            <w:left w:val="none" w:sz="0" w:space="0" w:color="auto"/>
            <w:bottom w:val="none" w:sz="0" w:space="0" w:color="auto"/>
            <w:right w:val="none" w:sz="0" w:space="0" w:color="auto"/>
          </w:divBdr>
          <w:divsChild>
            <w:div w:id="889390192">
              <w:marLeft w:val="0"/>
              <w:marRight w:val="0"/>
              <w:marTop w:val="0"/>
              <w:marBottom w:val="0"/>
              <w:divBdr>
                <w:top w:val="none" w:sz="0" w:space="0" w:color="auto"/>
                <w:left w:val="none" w:sz="0" w:space="0" w:color="auto"/>
                <w:bottom w:val="none" w:sz="0" w:space="0" w:color="auto"/>
                <w:right w:val="none" w:sz="0" w:space="0" w:color="auto"/>
              </w:divBdr>
            </w:div>
          </w:divsChild>
        </w:div>
        <w:div w:id="1009211188">
          <w:marLeft w:val="0"/>
          <w:marRight w:val="0"/>
          <w:marTop w:val="0"/>
          <w:marBottom w:val="0"/>
          <w:divBdr>
            <w:top w:val="none" w:sz="0" w:space="0" w:color="auto"/>
            <w:left w:val="none" w:sz="0" w:space="0" w:color="auto"/>
            <w:bottom w:val="none" w:sz="0" w:space="0" w:color="auto"/>
            <w:right w:val="none" w:sz="0" w:space="0" w:color="auto"/>
          </w:divBdr>
          <w:divsChild>
            <w:div w:id="193688181">
              <w:marLeft w:val="0"/>
              <w:marRight w:val="0"/>
              <w:marTop w:val="0"/>
              <w:marBottom w:val="0"/>
              <w:divBdr>
                <w:top w:val="none" w:sz="0" w:space="0" w:color="auto"/>
                <w:left w:val="none" w:sz="0" w:space="0" w:color="auto"/>
                <w:bottom w:val="none" w:sz="0" w:space="0" w:color="auto"/>
                <w:right w:val="none" w:sz="0" w:space="0" w:color="auto"/>
              </w:divBdr>
            </w:div>
            <w:div w:id="448622767">
              <w:marLeft w:val="0"/>
              <w:marRight w:val="0"/>
              <w:marTop w:val="0"/>
              <w:marBottom w:val="0"/>
              <w:divBdr>
                <w:top w:val="none" w:sz="0" w:space="0" w:color="auto"/>
                <w:left w:val="none" w:sz="0" w:space="0" w:color="auto"/>
                <w:bottom w:val="none" w:sz="0" w:space="0" w:color="auto"/>
                <w:right w:val="none" w:sz="0" w:space="0" w:color="auto"/>
              </w:divBdr>
            </w:div>
            <w:div w:id="596910686">
              <w:marLeft w:val="0"/>
              <w:marRight w:val="0"/>
              <w:marTop w:val="0"/>
              <w:marBottom w:val="0"/>
              <w:divBdr>
                <w:top w:val="none" w:sz="0" w:space="0" w:color="auto"/>
                <w:left w:val="none" w:sz="0" w:space="0" w:color="auto"/>
                <w:bottom w:val="none" w:sz="0" w:space="0" w:color="auto"/>
                <w:right w:val="none" w:sz="0" w:space="0" w:color="auto"/>
              </w:divBdr>
            </w:div>
            <w:div w:id="1014958301">
              <w:marLeft w:val="0"/>
              <w:marRight w:val="0"/>
              <w:marTop w:val="0"/>
              <w:marBottom w:val="0"/>
              <w:divBdr>
                <w:top w:val="none" w:sz="0" w:space="0" w:color="auto"/>
                <w:left w:val="none" w:sz="0" w:space="0" w:color="auto"/>
                <w:bottom w:val="none" w:sz="0" w:space="0" w:color="auto"/>
                <w:right w:val="none" w:sz="0" w:space="0" w:color="auto"/>
              </w:divBdr>
            </w:div>
            <w:div w:id="2027978315">
              <w:marLeft w:val="0"/>
              <w:marRight w:val="0"/>
              <w:marTop w:val="0"/>
              <w:marBottom w:val="0"/>
              <w:divBdr>
                <w:top w:val="none" w:sz="0" w:space="0" w:color="auto"/>
                <w:left w:val="none" w:sz="0" w:space="0" w:color="auto"/>
                <w:bottom w:val="none" w:sz="0" w:space="0" w:color="auto"/>
                <w:right w:val="none" w:sz="0" w:space="0" w:color="auto"/>
              </w:divBdr>
            </w:div>
            <w:div w:id="2060742492">
              <w:marLeft w:val="0"/>
              <w:marRight w:val="0"/>
              <w:marTop w:val="0"/>
              <w:marBottom w:val="0"/>
              <w:divBdr>
                <w:top w:val="none" w:sz="0" w:space="0" w:color="auto"/>
                <w:left w:val="none" w:sz="0" w:space="0" w:color="auto"/>
                <w:bottom w:val="none" w:sz="0" w:space="0" w:color="auto"/>
                <w:right w:val="none" w:sz="0" w:space="0" w:color="auto"/>
              </w:divBdr>
            </w:div>
          </w:divsChild>
        </w:div>
        <w:div w:id="1042632144">
          <w:marLeft w:val="0"/>
          <w:marRight w:val="0"/>
          <w:marTop w:val="0"/>
          <w:marBottom w:val="0"/>
          <w:divBdr>
            <w:top w:val="none" w:sz="0" w:space="0" w:color="auto"/>
            <w:left w:val="none" w:sz="0" w:space="0" w:color="auto"/>
            <w:bottom w:val="none" w:sz="0" w:space="0" w:color="auto"/>
            <w:right w:val="none" w:sz="0" w:space="0" w:color="auto"/>
          </w:divBdr>
          <w:divsChild>
            <w:div w:id="1262910464">
              <w:marLeft w:val="0"/>
              <w:marRight w:val="0"/>
              <w:marTop w:val="0"/>
              <w:marBottom w:val="0"/>
              <w:divBdr>
                <w:top w:val="none" w:sz="0" w:space="0" w:color="auto"/>
                <w:left w:val="none" w:sz="0" w:space="0" w:color="auto"/>
                <w:bottom w:val="none" w:sz="0" w:space="0" w:color="auto"/>
                <w:right w:val="none" w:sz="0" w:space="0" w:color="auto"/>
              </w:divBdr>
            </w:div>
          </w:divsChild>
        </w:div>
        <w:div w:id="1143155747">
          <w:marLeft w:val="0"/>
          <w:marRight w:val="0"/>
          <w:marTop w:val="0"/>
          <w:marBottom w:val="0"/>
          <w:divBdr>
            <w:top w:val="none" w:sz="0" w:space="0" w:color="auto"/>
            <w:left w:val="none" w:sz="0" w:space="0" w:color="auto"/>
            <w:bottom w:val="none" w:sz="0" w:space="0" w:color="auto"/>
            <w:right w:val="none" w:sz="0" w:space="0" w:color="auto"/>
          </w:divBdr>
          <w:divsChild>
            <w:div w:id="338773412">
              <w:marLeft w:val="0"/>
              <w:marRight w:val="0"/>
              <w:marTop w:val="0"/>
              <w:marBottom w:val="0"/>
              <w:divBdr>
                <w:top w:val="none" w:sz="0" w:space="0" w:color="auto"/>
                <w:left w:val="none" w:sz="0" w:space="0" w:color="auto"/>
                <w:bottom w:val="none" w:sz="0" w:space="0" w:color="auto"/>
                <w:right w:val="none" w:sz="0" w:space="0" w:color="auto"/>
              </w:divBdr>
            </w:div>
          </w:divsChild>
        </w:div>
        <w:div w:id="1174881761">
          <w:marLeft w:val="0"/>
          <w:marRight w:val="0"/>
          <w:marTop w:val="0"/>
          <w:marBottom w:val="0"/>
          <w:divBdr>
            <w:top w:val="none" w:sz="0" w:space="0" w:color="auto"/>
            <w:left w:val="none" w:sz="0" w:space="0" w:color="auto"/>
            <w:bottom w:val="none" w:sz="0" w:space="0" w:color="auto"/>
            <w:right w:val="none" w:sz="0" w:space="0" w:color="auto"/>
          </w:divBdr>
          <w:divsChild>
            <w:div w:id="539516517">
              <w:marLeft w:val="0"/>
              <w:marRight w:val="0"/>
              <w:marTop w:val="0"/>
              <w:marBottom w:val="0"/>
              <w:divBdr>
                <w:top w:val="none" w:sz="0" w:space="0" w:color="auto"/>
                <w:left w:val="none" w:sz="0" w:space="0" w:color="auto"/>
                <w:bottom w:val="none" w:sz="0" w:space="0" w:color="auto"/>
                <w:right w:val="none" w:sz="0" w:space="0" w:color="auto"/>
              </w:divBdr>
            </w:div>
            <w:div w:id="1247034601">
              <w:marLeft w:val="0"/>
              <w:marRight w:val="0"/>
              <w:marTop w:val="0"/>
              <w:marBottom w:val="0"/>
              <w:divBdr>
                <w:top w:val="none" w:sz="0" w:space="0" w:color="auto"/>
                <w:left w:val="none" w:sz="0" w:space="0" w:color="auto"/>
                <w:bottom w:val="none" w:sz="0" w:space="0" w:color="auto"/>
                <w:right w:val="none" w:sz="0" w:space="0" w:color="auto"/>
              </w:divBdr>
            </w:div>
            <w:div w:id="1668513268">
              <w:marLeft w:val="0"/>
              <w:marRight w:val="0"/>
              <w:marTop w:val="0"/>
              <w:marBottom w:val="0"/>
              <w:divBdr>
                <w:top w:val="none" w:sz="0" w:space="0" w:color="auto"/>
                <w:left w:val="none" w:sz="0" w:space="0" w:color="auto"/>
                <w:bottom w:val="none" w:sz="0" w:space="0" w:color="auto"/>
                <w:right w:val="none" w:sz="0" w:space="0" w:color="auto"/>
              </w:divBdr>
            </w:div>
            <w:div w:id="1937597789">
              <w:marLeft w:val="0"/>
              <w:marRight w:val="0"/>
              <w:marTop w:val="0"/>
              <w:marBottom w:val="0"/>
              <w:divBdr>
                <w:top w:val="none" w:sz="0" w:space="0" w:color="auto"/>
                <w:left w:val="none" w:sz="0" w:space="0" w:color="auto"/>
                <w:bottom w:val="none" w:sz="0" w:space="0" w:color="auto"/>
                <w:right w:val="none" w:sz="0" w:space="0" w:color="auto"/>
              </w:divBdr>
            </w:div>
          </w:divsChild>
        </w:div>
        <w:div w:id="1284266485">
          <w:marLeft w:val="0"/>
          <w:marRight w:val="0"/>
          <w:marTop w:val="0"/>
          <w:marBottom w:val="0"/>
          <w:divBdr>
            <w:top w:val="none" w:sz="0" w:space="0" w:color="auto"/>
            <w:left w:val="none" w:sz="0" w:space="0" w:color="auto"/>
            <w:bottom w:val="none" w:sz="0" w:space="0" w:color="auto"/>
            <w:right w:val="none" w:sz="0" w:space="0" w:color="auto"/>
          </w:divBdr>
          <w:divsChild>
            <w:div w:id="115150387">
              <w:marLeft w:val="0"/>
              <w:marRight w:val="0"/>
              <w:marTop w:val="0"/>
              <w:marBottom w:val="0"/>
              <w:divBdr>
                <w:top w:val="none" w:sz="0" w:space="0" w:color="auto"/>
                <w:left w:val="none" w:sz="0" w:space="0" w:color="auto"/>
                <w:bottom w:val="none" w:sz="0" w:space="0" w:color="auto"/>
                <w:right w:val="none" w:sz="0" w:space="0" w:color="auto"/>
              </w:divBdr>
            </w:div>
            <w:div w:id="309022268">
              <w:marLeft w:val="0"/>
              <w:marRight w:val="0"/>
              <w:marTop w:val="0"/>
              <w:marBottom w:val="0"/>
              <w:divBdr>
                <w:top w:val="none" w:sz="0" w:space="0" w:color="auto"/>
                <w:left w:val="none" w:sz="0" w:space="0" w:color="auto"/>
                <w:bottom w:val="none" w:sz="0" w:space="0" w:color="auto"/>
                <w:right w:val="none" w:sz="0" w:space="0" w:color="auto"/>
              </w:divBdr>
            </w:div>
            <w:div w:id="754321038">
              <w:marLeft w:val="0"/>
              <w:marRight w:val="0"/>
              <w:marTop w:val="0"/>
              <w:marBottom w:val="0"/>
              <w:divBdr>
                <w:top w:val="none" w:sz="0" w:space="0" w:color="auto"/>
                <w:left w:val="none" w:sz="0" w:space="0" w:color="auto"/>
                <w:bottom w:val="none" w:sz="0" w:space="0" w:color="auto"/>
                <w:right w:val="none" w:sz="0" w:space="0" w:color="auto"/>
              </w:divBdr>
            </w:div>
            <w:div w:id="864101799">
              <w:marLeft w:val="0"/>
              <w:marRight w:val="0"/>
              <w:marTop w:val="0"/>
              <w:marBottom w:val="0"/>
              <w:divBdr>
                <w:top w:val="none" w:sz="0" w:space="0" w:color="auto"/>
                <w:left w:val="none" w:sz="0" w:space="0" w:color="auto"/>
                <w:bottom w:val="none" w:sz="0" w:space="0" w:color="auto"/>
                <w:right w:val="none" w:sz="0" w:space="0" w:color="auto"/>
              </w:divBdr>
            </w:div>
            <w:div w:id="1428622575">
              <w:marLeft w:val="0"/>
              <w:marRight w:val="0"/>
              <w:marTop w:val="0"/>
              <w:marBottom w:val="0"/>
              <w:divBdr>
                <w:top w:val="none" w:sz="0" w:space="0" w:color="auto"/>
                <w:left w:val="none" w:sz="0" w:space="0" w:color="auto"/>
                <w:bottom w:val="none" w:sz="0" w:space="0" w:color="auto"/>
                <w:right w:val="none" w:sz="0" w:space="0" w:color="auto"/>
              </w:divBdr>
            </w:div>
            <w:div w:id="2043430742">
              <w:marLeft w:val="0"/>
              <w:marRight w:val="0"/>
              <w:marTop w:val="0"/>
              <w:marBottom w:val="0"/>
              <w:divBdr>
                <w:top w:val="none" w:sz="0" w:space="0" w:color="auto"/>
                <w:left w:val="none" w:sz="0" w:space="0" w:color="auto"/>
                <w:bottom w:val="none" w:sz="0" w:space="0" w:color="auto"/>
                <w:right w:val="none" w:sz="0" w:space="0" w:color="auto"/>
              </w:divBdr>
            </w:div>
            <w:div w:id="2140032918">
              <w:marLeft w:val="0"/>
              <w:marRight w:val="0"/>
              <w:marTop w:val="0"/>
              <w:marBottom w:val="0"/>
              <w:divBdr>
                <w:top w:val="none" w:sz="0" w:space="0" w:color="auto"/>
                <w:left w:val="none" w:sz="0" w:space="0" w:color="auto"/>
                <w:bottom w:val="none" w:sz="0" w:space="0" w:color="auto"/>
                <w:right w:val="none" w:sz="0" w:space="0" w:color="auto"/>
              </w:divBdr>
            </w:div>
          </w:divsChild>
        </w:div>
        <w:div w:id="1330475027">
          <w:marLeft w:val="0"/>
          <w:marRight w:val="0"/>
          <w:marTop w:val="0"/>
          <w:marBottom w:val="0"/>
          <w:divBdr>
            <w:top w:val="none" w:sz="0" w:space="0" w:color="auto"/>
            <w:left w:val="none" w:sz="0" w:space="0" w:color="auto"/>
            <w:bottom w:val="none" w:sz="0" w:space="0" w:color="auto"/>
            <w:right w:val="none" w:sz="0" w:space="0" w:color="auto"/>
          </w:divBdr>
          <w:divsChild>
            <w:div w:id="970550799">
              <w:marLeft w:val="0"/>
              <w:marRight w:val="0"/>
              <w:marTop w:val="0"/>
              <w:marBottom w:val="0"/>
              <w:divBdr>
                <w:top w:val="none" w:sz="0" w:space="0" w:color="auto"/>
                <w:left w:val="none" w:sz="0" w:space="0" w:color="auto"/>
                <w:bottom w:val="none" w:sz="0" w:space="0" w:color="auto"/>
                <w:right w:val="none" w:sz="0" w:space="0" w:color="auto"/>
              </w:divBdr>
            </w:div>
          </w:divsChild>
        </w:div>
        <w:div w:id="1358773195">
          <w:marLeft w:val="0"/>
          <w:marRight w:val="0"/>
          <w:marTop w:val="0"/>
          <w:marBottom w:val="0"/>
          <w:divBdr>
            <w:top w:val="none" w:sz="0" w:space="0" w:color="auto"/>
            <w:left w:val="none" w:sz="0" w:space="0" w:color="auto"/>
            <w:bottom w:val="none" w:sz="0" w:space="0" w:color="auto"/>
            <w:right w:val="none" w:sz="0" w:space="0" w:color="auto"/>
          </w:divBdr>
          <w:divsChild>
            <w:div w:id="925529242">
              <w:marLeft w:val="0"/>
              <w:marRight w:val="0"/>
              <w:marTop w:val="0"/>
              <w:marBottom w:val="0"/>
              <w:divBdr>
                <w:top w:val="none" w:sz="0" w:space="0" w:color="auto"/>
                <w:left w:val="none" w:sz="0" w:space="0" w:color="auto"/>
                <w:bottom w:val="none" w:sz="0" w:space="0" w:color="auto"/>
                <w:right w:val="none" w:sz="0" w:space="0" w:color="auto"/>
              </w:divBdr>
            </w:div>
          </w:divsChild>
        </w:div>
        <w:div w:id="1781341655">
          <w:marLeft w:val="0"/>
          <w:marRight w:val="0"/>
          <w:marTop w:val="0"/>
          <w:marBottom w:val="0"/>
          <w:divBdr>
            <w:top w:val="none" w:sz="0" w:space="0" w:color="auto"/>
            <w:left w:val="none" w:sz="0" w:space="0" w:color="auto"/>
            <w:bottom w:val="none" w:sz="0" w:space="0" w:color="auto"/>
            <w:right w:val="none" w:sz="0" w:space="0" w:color="auto"/>
          </w:divBdr>
          <w:divsChild>
            <w:div w:id="1372224427">
              <w:marLeft w:val="0"/>
              <w:marRight w:val="0"/>
              <w:marTop w:val="0"/>
              <w:marBottom w:val="0"/>
              <w:divBdr>
                <w:top w:val="none" w:sz="0" w:space="0" w:color="auto"/>
                <w:left w:val="none" w:sz="0" w:space="0" w:color="auto"/>
                <w:bottom w:val="none" w:sz="0" w:space="0" w:color="auto"/>
                <w:right w:val="none" w:sz="0" w:space="0" w:color="auto"/>
              </w:divBdr>
            </w:div>
          </w:divsChild>
        </w:div>
        <w:div w:id="1846508225">
          <w:marLeft w:val="0"/>
          <w:marRight w:val="0"/>
          <w:marTop w:val="0"/>
          <w:marBottom w:val="0"/>
          <w:divBdr>
            <w:top w:val="none" w:sz="0" w:space="0" w:color="auto"/>
            <w:left w:val="none" w:sz="0" w:space="0" w:color="auto"/>
            <w:bottom w:val="none" w:sz="0" w:space="0" w:color="auto"/>
            <w:right w:val="none" w:sz="0" w:space="0" w:color="auto"/>
          </w:divBdr>
          <w:divsChild>
            <w:div w:id="234096253">
              <w:marLeft w:val="0"/>
              <w:marRight w:val="0"/>
              <w:marTop w:val="0"/>
              <w:marBottom w:val="0"/>
              <w:divBdr>
                <w:top w:val="none" w:sz="0" w:space="0" w:color="auto"/>
                <w:left w:val="none" w:sz="0" w:space="0" w:color="auto"/>
                <w:bottom w:val="none" w:sz="0" w:space="0" w:color="auto"/>
                <w:right w:val="none" w:sz="0" w:space="0" w:color="auto"/>
              </w:divBdr>
            </w:div>
            <w:div w:id="643781884">
              <w:marLeft w:val="0"/>
              <w:marRight w:val="0"/>
              <w:marTop w:val="0"/>
              <w:marBottom w:val="0"/>
              <w:divBdr>
                <w:top w:val="none" w:sz="0" w:space="0" w:color="auto"/>
                <w:left w:val="none" w:sz="0" w:space="0" w:color="auto"/>
                <w:bottom w:val="none" w:sz="0" w:space="0" w:color="auto"/>
                <w:right w:val="none" w:sz="0" w:space="0" w:color="auto"/>
              </w:divBdr>
            </w:div>
            <w:div w:id="1039668717">
              <w:marLeft w:val="0"/>
              <w:marRight w:val="0"/>
              <w:marTop w:val="0"/>
              <w:marBottom w:val="0"/>
              <w:divBdr>
                <w:top w:val="none" w:sz="0" w:space="0" w:color="auto"/>
                <w:left w:val="none" w:sz="0" w:space="0" w:color="auto"/>
                <w:bottom w:val="none" w:sz="0" w:space="0" w:color="auto"/>
                <w:right w:val="none" w:sz="0" w:space="0" w:color="auto"/>
              </w:divBdr>
            </w:div>
            <w:div w:id="1620331062">
              <w:marLeft w:val="0"/>
              <w:marRight w:val="0"/>
              <w:marTop w:val="0"/>
              <w:marBottom w:val="0"/>
              <w:divBdr>
                <w:top w:val="none" w:sz="0" w:space="0" w:color="auto"/>
                <w:left w:val="none" w:sz="0" w:space="0" w:color="auto"/>
                <w:bottom w:val="none" w:sz="0" w:space="0" w:color="auto"/>
                <w:right w:val="none" w:sz="0" w:space="0" w:color="auto"/>
              </w:divBdr>
            </w:div>
            <w:div w:id="1709598500">
              <w:marLeft w:val="0"/>
              <w:marRight w:val="0"/>
              <w:marTop w:val="0"/>
              <w:marBottom w:val="0"/>
              <w:divBdr>
                <w:top w:val="none" w:sz="0" w:space="0" w:color="auto"/>
                <w:left w:val="none" w:sz="0" w:space="0" w:color="auto"/>
                <w:bottom w:val="none" w:sz="0" w:space="0" w:color="auto"/>
                <w:right w:val="none" w:sz="0" w:space="0" w:color="auto"/>
              </w:divBdr>
            </w:div>
          </w:divsChild>
        </w:div>
        <w:div w:id="1883903952">
          <w:marLeft w:val="0"/>
          <w:marRight w:val="0"/>
          <w:marTop w:val="0"/>
          <w:marBottom w:val="0"/>
          <w:divBdr>
            <w:top w:val="none" w:sz="0" w:space="0" w:color="auto"/>
            <w:left w:val="none" w:sz="0" w:space="0" w:color="auto"/>
            <w:bottom w:val="none" w:sz="0" w:space="0" w:color="auto"/>
            <w:right w:val="none" w:sz="0" w:space="0" w:color="auto"/>
          </w:divBdr>
          <w:divsChild>
            <w:div w:id="1541480019">
              <w:marLeft w:val="0"/>
              <w:marRight w:val="0"/>
              <w:marTop w:val="0"/>
              <w:marBottom w:val="0"/>
              <w:divBdr>
                <w:top w:val="none" w:sz="0" w:space="0" w:color="auto"/>
                <w:left w:val="none" w:sz="0" w:space="0" w:color="auto"/>
                <w:bottom w:val="none" w:sz="0" w:space="0" w:color="auto"/>
                <w:right w:val="none" w:sz="0" w:space="0" w:color="auto"/>
              </w:divBdr>
            </w:div>
          </w:divsChild>
        </w:div>
        <w:div w:id="1928533394">
          <w:marLeft w:val="0"/>
          <w:marRight w:val="0"/>
          <w:marTop w:val="0"/>
          <w:marBottom w:val="0"/>
          <w:divBdr>
            <w:top w:val="none" w:sz="0" w:space="0" w:color="auto"/>
            <w:left w:val="none" w:sz="0" w:space="0" w:color="auto"/>
            <w:bottom w:val="none" w:sz="0" w:space="0" w:color="auto"/>
            <w:right w:val="none" w:sz="0" w:space="0" w:color="auto"/>
          </w:divBdr>
          <w:divsChild>
            <w:div w:id="417558158">
              <w:marLeft w:val="0"/>
              <w:marRight w:val="0"/>
              <w:marTop w:val="0"/>
              <w:marBottom w:val="0"/>
              <w:divBdr>
                <w:top w:val="none" w:sz="0" w:space="0" w:color="auto"/>
                <w:left w:val="none" w:sz="0" w:space="0" w:color="auto"/>
                <w:bottom w:val="none" w:sz="0" w:space="0" w:color="auto"/>
                <w:right w:val="none" w:sz="0" w:space="0" w:color="auto"/>
              </w:divBdr>
            </w:div>
            <w:div w:id="634067613">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 w:id="1752895186">
              <w:marLeft w:val="0"/>
              <w:marRight w:val="0"/>
              <w:marTop w:val="0"/>
              <w:marBottom w:val="0"/>
              <w:divBdr>
                <w:top w:val="none" w:sz="0" w:space="0" w:color="auto"/>
                <w:left w:val="none" w:sz="0" w:space="0" w:color="auto"/>
                <w:bottom w:val="none" w:sz="0" w:space="0" w:color="auto"/>
                <w:right w:val="none" w:sz="0" w:space="0" w:color="auto"/>
              </w:divBdr>
            </w:div>
            <w:div w:id="1770540641">
              <w:marLeft w:val="0"/>
              <w:marRight w:val="0"/>
              <w:marTop w:val="0"/>
              <w:marBottom w:val="0"/>
              <w:divBdr>
                <w:top w:val="none" w:sz="0" w:space="0" w:color="auto"/>
                <w:left w:val="none" w:sz="0" w:space="0" w:color="auto"/>
                <w:bottom w:val="none" w:sz="0" w:space="0" w:color="auto"/>
                <w:right w:val="none" w:sz="0" w:space="0" w:color="auto"/>
              </w:divBdr>
            </w:div>
          </w:divsChild>
        </w:div>
        <w:div w:id="1951744788">
          <w:marLeft w:val="0"/>
          <w:marRight w:val="0"/>
          <w:marTop w:val="0"/>
          <w:marBottom w:val="0"/>
          <w:divBdr>
            <w:top w:val="none" w:sz="0" w:space="0" w:color="auto"/>
            <w:left w:val="none" w:sz="0" w:space="0" w:color="auto"/>
            <w:bottom w:val="none" w:sz="0" w:space="0" w:color="auto"/>
            <w:right w:val="none" w:sz="0" w:space="0" w:color="auto"/>
          </w:divBdr>
          <w:divsChild>
            <w:div w:id="1747334854">
              <w:marLeft w:val="0"/>
              <w:marRight w:val="0"/>
              <w:marTop w:val="0"/>
              <w:marBottom w:val="0"/>
              <w:divBdr>
                <w:top w:val="none" w:sz="0" w:space="0" w:color="auto"/>
                <w:left w:val="none" w:sz="0" w:space="0" w:color="auto"/>
                <w:bottom w:val="none" w:sz="0" w:space="0" w:color="auto"/>
                <w:right w:val="none" w:sz="0" w:space="0" w:color="auto"/>
              </w:divBdr>
            </w:div>
          </w:divsChild>
        </w:div>
        <w:div w:id="2018649009">
          <w:marLeft w:val="0"/>
          <w:marRight w:val="0"/>
          <w:marTop w:val="0"/>
          <w:marBottom w:val="0"/>
          <w:divBdr>
            <w:top w:val="none" w:sz="0" w:space="0" w:color="auto"/>
            <w:left w:val="none" w:sz="0" w:space="0" w:color="auto"/>
            <w:bottom w:val="none" w:sz="0" w:space="0" w:color="auto"/>
            <w:right w:val="none" w:sz="0" w:space="0" w:color="auto"/>
          </w:divBdr>
          <w:divsChild>
            <w:div w:id="49964357">
              <w:marLeft w:val="0"/>
              <w:marRight w:val="0"/>
              <w:marTop w:val="0"/>
              <w:marBottom w:val="0"/>
              <w:divBdr>
                <w:top w:val="none" w:sz="0" w:space="0" w:color="auto"/>
                <w:left w:val="none" w:sz="0" w:space="0" w:color="auto"/>
                <w:bottom w:val="none" w:sz="0" w:space="0" w:color="auto"/>
                <w:right w:val="none" w:sz="0" w:space="0" w:color="auto"/>
              </w:divBdr>
            </w:div>
            <w:div w:id="626936894">
              <w:marLeft w:val="0"/>
              <w:marRight w:val="0"/>
              <w:marTop w:val="0"/>
              <w:marBottom w:val="0"/>
              <w:divBdr>
                <w:top w:val="none" w:sz="0" w:space="0" w:color="auto"/>
                <w:left w:val="none" w:sz="0" w:space="0" w:color="auto"/>
                <w:bottom w:val="none" w:sz="0" w:space="0" w:color="auto"/>
                <w:right w:val="none" w:sz="0" w:space="0" w:color="auto"/>
              </w:divBdr>
            </w:div>
            <w:div w:id="886992776">
              <w:marLeft w:val="0"/>
              <w:marRight w:val="0"/>
              <w:marTop w:val="0"/>
              <w:marBottom w:val="0"/>
              <w:divBdr>
                <w:top w:val="none" w:sz="0" w:space="0" w:color="auto"/>
                <w:left w:val="none" w:sz="0" w:space="0" w:color="auto"/>
                <w:bottom w:val="none" w:sz="0" w:space="0" w:color="auto"/>
                <w:right w:val="none" w:sz="0" w:space="0" w:color="auto"/>
              </w:divBdr>
            </w:div>
            <w:div w:id="1450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2959">
      <w:bodyDiv w:val="1"/>
      <w:marLeft w:val="0"/>
      <w:marRight w:val="0"/>
      <w:marTop w:val="0"/>
      <w:marBottom w:val="0"/>
      <w:divBdr>
        <w:top w:val="none" w:sz="0" w:space="0" w:color="auto"/>
        <w:left w:val="none" w:sz="0" w:space="0" w:color="auto"/>
        <w:bottom w:val="none" w:sz="0" w:space="0" w:color="auto"/>
        <w:right w:val="none" w:sz="0" w:space="0" w:color="auto"/>
      </w:divBdr>
    </w:div>
    <w:div w:id="783384394">
      <w:bodyDiv w:val="1"/>
      <w:marLeft w:val="0"/>
      <w:marRight w:val="0"/>
      <w:marTop w:val="0"/>
      <w:marBottom w:val="0"/>
      <w:divBdr>
        <w:top w:val="none" w:sz="0" w:space="0" w:color="auto"/>
        <w:left w:val="none" w:sz="0" w:space="0" w:color="auto"/>
        <w:bottom w:val="none" w:sz="0" w:space="0" w:color="auto"/>
        <w:right w:val="none" w:sz="0" w:space="0" w:color="auto"/>
      </w:divBdr>
    </w:div>
    <w:div w:id="784884548">
      <w:bodyDiv w:val="1"/>
      <w:marLeft w:val="0"/>
      <w:marRight w:val="0"/>
      <w:marTop w:val="0"/>
      <w:marBottom w:val="0"/>
      <w:divBdr>
        <w:top w:val="none" w:sz="0" w:space="0" w:color="auto"/>
        <w:left w:val="none" w:sz="0" w:space="0" w:color="auto"/>
        <w:bottom w:val="none" w:sz="0" w:space="0" w:color="auto"/>
        <w:right w:val="none" w:sz="0" w:space="0" w:color="auto"/>
      </w:divBdr>
    </w:div>
    <w:div w:id="784932665">
      <w:bodyDiv w:val="1"/>
      <w:marLeft w:val="0"/>
      <w:marRight w:val="0"/>
      <w:marTop w:val="0"/>
      <w:marBottom w:val="0"/>
      <w:divBdr>
        <w:top w:val="none" w:sz="0" w:space="0" w:color="auto"/>
        <w:left w:val="none" w:sz="0" w:space="0" w:color="auto"/>
        <w:bottom w:val="none" w:sz="0" w:space="0" w:color="auto"/>
        <w:right w:val="none" w:sz="0" w:space="0" w:color="auto"/>
      </w:divBdr>
    </w:div>
    <w:div w:id="787504804">
      <w:bodyDiv w:val="1"/>
      <w:marLeft w:val="0"/>
      <w:marRight w:val="0"/>
      <w:marTop w:val="0"/>
      <w:marBottom w:val="0"/>
      <w:divBdr>
        <w:top w:val="none" w:sz="0" w:space="0" w:color="auto"/>
        <w:left w:val="none" w:sz="0" w:space="0" w:color="auto"/>
        <w:bottom w:val="none" w:sz="0" w:space="0" w:color="auto"/>
        <w:right w:val="none" w:sz="0" w:space="0" w:color="auto"/>
      </w:divBdr>
    </w:div>
    <w:div w:id="791484092">
      <w:bodyDiv w:val="1"/>
      <w:marLeft w:val="0"/>
      <w:marRight w:val="0"/>
      <w:marTop w:val="0"/>
      <w:marBottom w:val="0"/>
      <w:divBdr>
        <w:top w:val="none" w:sz="0" w:space="0" w:color="auto"/>
        <w:left w:val="none" w:sz="0" w:space="0" w:color="auto"/>
        <w:bottom w:val="none" w:sz="0" w:space="0" w:color="auto"/>
        <w:right w:val="none" w:sz="0" w:space="0" w:color="auto"/>
      </w:divBdr>
    </w:div>
    <w:div w:id="793787277">
      <w:bodyDiv w:val="1"/>
      <w:marLeft w:val="0"/>
      <w:marRight w:val="0"/>
      <w:marTop w:val="0"/>
      <w:marBottom w:val="0"/>
      <w:divBdr>
        <w:top w:val="none" w:sz="0" w:space="0" w:color="auto"/>
        <w:left w:val="none" w:sz="0" w:space="0" w:color="auto"/>
        <w:bottom w:val="none" w:sz="0" w:space="0" w:color="auto"/>
        <w:right w:val="none" w:sz="0" w:space="0" w:color="auto"/>
      </w:divBdr>
      <w:divsChild>
        <w:div w:id="54284862">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
            <w:div w:id="1718695893">
              <w:marLeft w:val="0"/>
              <w:marRight w:val="0"/>
              <w:marTop w:val="0"/>
              <w:marBottom w:val="0"/>
              <w:divBdr>
                <w:top w:val="none" w:sz="0" w:space="0" w:color="auto"/>
                <w:left w:val="none" w:sz="0" w:space="0" w:color="auto"/>
                <w:bottom w:val="none" w:sz="0" w:space="0" w:color="auto"/>
                <w:right w:val="none" w:sz="0" w:space="0" w:color="auto"/>
              </w:divBdr>
            </w:div>
          </w:divsChild>
        </w:div>
        <w:div w:id="66541047">
          <w:marLeft w:val="0"/>
          <w:marRight w:val="0"/>
          <w:marTop w:val="0"/>
          <w:marBottom w:val="0"/>
          <w:divBdr>
            <w:top w:val="none" w:sz="0" w:space="0" w:color="auto"/>
            <w:left w:val="none" w:sz="0" w:space="0" w:color="auto"/>
            <w:bottom w:val="none" w:sz="0" w:space="0" w:color="auto"/>
            <w:right w:val="none" w:sz="0" w:space="0" w:color="auto"/>
          </w:divBdr>
          <w:divsChild>
            <w:div w:id="419107331">
              <w:marLeft w:val="0"/>
              <w:marRight w:val="0"/>
              <w:marTop w:val="0"/>
              <w:marBottom w:val="0"/>
              <w:divBdr>
                <w:top w:val="none" w:sz="0" w:space="0" w:color="auto"/>
                <w:left w:val="none" w:sz="0" w:space="0" w:color="auto"/>
                <w:bottom w:val="none" w:sz="0" w:space="0" w:color="auto"/>
                <w:right w:val="none" w:sz="0" w:space="0" w:color="auto"/>
              </w:divBdr>
            </w:div>
          </w:divsChild>
        </w:div>
        <w:div w:id="500782879">
          <w:marLeft w:val="0"/>
          <w:marRight w:val="0"/>
          <w:marTop w:val="0"/>
          <w:marBottom w:val="0"/>
          <w:divBdr>
            <w:top w:val="none" w:sz="0" w:space="0" w:color="auto"/>
            <w:left w:val="none" w:sz="0" w:space="0" w:color="auto"/>
            <w:bottom w:val="none" w:sz="0" w:space="0" w:color="auto"/>
            <w:right w:val="none" w:sz="0" w:space="0" w:color="auto"/>
          </w:divBdr>
          <w:divsChild>
            <w:div w:id="503056695">
              <w:marLeft w:val="0"/>
              <w:marRight w:val="0"/>
              <w:marTop w:val="0"/>
              <w:marBottom w:val="0"/>
              <w:divBdr>
                <w:top w:val="none" w:sz="0" w:space="0" w:color="auto"/>
                <w:left w:val="none" w:sz="0" w:space="0" w:color="auto"/>
                <w:bottom w:val="none" w:sz="0" w:space="0" w:color="auto"/>
                <w:right w:val="none" w:sz="0" w:space="0" w:color="auto"/>
              </w:divBdr>
            </w:div>
            <w:div w:id="1126654620">
              <w:marLeft w:val="0"/>
              <w:marRight w:val="0"/>
              <w:marTop w:val="0"/>
              <w:marBottom w:val="0"/>
              <w:divBdr>
                <w:top w:val="none" w:sz="0" w:space="0" w:color="auto"/>
                <w:left w:val="none" w:sz="0" w:space="0" w:color="auto"/>
                <w:bottom w:val="none" w:sz="0" w:space="0" w:color="auto"/>
                <w:right w:val="none" w:sz="0" w:space="0" w:color="auto"/>
              </w:divBdr>
            </w:div>
          </w:divsChild>
        </w:div>
        <w:div w:id="504901678">
          <w:marLeft w:val="0"/>
          <w:marRight w:val="0"/>
          <w:marTop w:val="0"/>
          <w:marBottom w:val="0"/>
          <w:divBdr>
            <w:top w:val="none" w:sz="0" w:space="0" w:color="auto"/>
            <w:left w:val="none" w:sz="0" w:space="0" w:color="auto"/>
            <w:bottom w:val="none" w:sz="0" w:space="0" w:color="auto"/>
            <w:right w:val="none" w:sz="0" w:space="0" w:color="auto"/>
          </w:divBdr>
          <w:divsChild>
            <w:div w:id="353925219">
              <w:marLeft w:val="0"/>
              <w:marRight w:val="0"/>
              <w:marTop w:val="0"/>
              <w:marBottom w:val="0"/>
              <w:divBdr>
                <w:top w:val="none" w:sz="0" w:space="0" w:color="auto"/>
                <w:left w:val="none" w:sz="0" w:space="0" w:color="auto"/>
                <w:bottom w:val="none" w:sz="0" w:space="0" w:color="auto"/>
                <w:right w:val="none" w:sz="0" w:space="0" w:color="auto"/>
              </w:divBdr>
            </w:div>
            <w:div w:id="379673371">
              <w:marLeft w:val="0"/>
              <w:marRight w:val="0"/>
              <w:marTop w:val="0"/>
              <w:marBottom w:val="0"/>
              <w:divBdr>
                <w:top w:val="none" w:sz="0" w:space="0" w:color="auto"/>
                <w:left w:val="none" w:sz="0" w:space="0" w:color="auto"/>
                <w:bottom w:val="none" w:sz="0" w:space="0" w:color="auto"/>
                <w:right w:val="none" w:sz="0" w:space="0" w:color="auto"/>
              </w:divBdr>
            </w:div>
            <w:div w:id="990211200">
              <w:marLeft w:val="0"/>
              <w:marRight w:val="0"/>
              <w:marTop w:val="0"/>
              <w:marBottom w:val="0"/>
              <w:divBdr>
                <w:top w:val="none" w:sz="0" w:space="0" w:color="auto"/>
                <w:left w:val="none" w:sz="0" w:space="0" w:color="auto"/>
                <w:bottom w:val="none" w:sz="0" w:space="0" w:color="auto"/>
                <w:right w:val="none" w:sz="0" w:space="0" w:color="auto"/>
              </w:divBdr>
            </w:div>
          </w:divsChild>
        </w:div>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
          </w:divsChild>
        </w:div>
        <w:div w:id="688022839">
          <w:marLeft w:val="0"/>
          <w:marRight w:val="0"/>
          <w:marTop w:val="0"/>
          <w:marBottom w:val="0"/>
          <w:divBdr>
            <w:top w:val="none" w:sz="0" w:space="0" w:color="auto"/>
            <w:left w:val="none" w:sz="0" w:space="0" w:color="auto"/>
            <w:bottom w:val="none" w:sz="0" w:space="0" w:color="auto"/>
            <w:right w:val="none" w:sz="0" w:space="0" w:color="auto"/>
          </w:divBdr>
          <w:divsChild>
            <w:div w:id="847257623">
              <w:marLeft w:val="0"/>
              <w:marRight w:val="0"/>
              <w:marTop w:val="0"/>
              <w:marBottom w:val="0"/>
              <w:divBdr>
                <w:top w:val="none" w:sz="0" w:space="0" w:color="auto"/>
                <w:left w:val="none" w:sz="0" w:space="0" w:color="auto"/>
                <w:bottom w:val="none" w:sz="0" w:space="0" w:color="auto"/>
                <w:right w:val="none" w:sz="0" w:space="0" w:color="auto"/>
              </w:divBdr>
            </w:div>
          </w:divsChild>
        </w:div>
        <w:div w:id="832337845">
          <w:marLeft w:val="0"/>
          <w:marRight w:val="0"/>
          <w:marTop w:val="0"/>
          <w:marBottom w:val="0"/>
          <w:divBdr>
            <w:top w:val="none" w:sz="0" w:space="0" w:color="auto"/>
            <w:left w:val="none" w:sz="0" w:space="0" w:color="auto"/>
            <w:bottom w:val="none" w:sz="0" w:space="0" w:color="auto"/>
            <w:right w:val="none" w:sz="0" w:space="0" w:color="auto"/>
          </w:divBdr>
          <w:divsChild>
            <w:div w:id="540673809">
              <w:marLeft w:val="0"/>
              <w:marRight w:val="0"/>
              <w:marTop w:val="0"/>
              <w:marBottom w:val="0"/>
              <w:divBdr>
                <w:top w:val="none" w:sz="0" w:space="0" w:color="auto"/>
                <w:left w:val="none" w:sz="0" w:space="0" w:color="auto"/>
                <w:bottom w:val="none" w:sz="0" w:space="0" w:color="auto"/>
                <w:right w:val="none" w:sz="0" w:space="0" w:color="auto"/>
              </w:divBdr>
            </w:div>
          </w:divsChild>
        </w:div>
        <w:div w:id="856385513">
          <w:marLeft w:val="0"/>
          <w:marRight w:val="0"/>
          <w:marTop w:val="0"/>
          <w:marBottom w:val="0"/>
          <w:divBdr>
            <w:top w:val="none" w:sz="0" w:space="0" w:color="auto"/>
            <w:left w:val="none" w:sz="0" w:space="0" w:color="auto"/>
            <w:bottom w:val="none" w:sz="0" w:space="0" w:color="auto"/>
            <w:right w:val="none" w:sz="0" w:space="0" w:color="auto"/>
          </w:divBdr>
          <w:divsChild>
            <w:div w:id="1389381958">
              <w:marLeft w:val="0"/>
              <w:marRight w:val="0"/>
              <w:marTop w:val="0"/>
              <w:marBottom w:val="0"/>
              <w:divBdr>
                <w:top w:val="none" w:sz="0" w:space="0" w:color="auto"/>
                <w:left w:val="none" w:sz="0" w:space="0" w:color="auto"/>
                <w:bottom w:val="none" w:sz="0" w:space="0" w:color="auto"/>
                <w:right w:val="none" w:sz="0" w:space="0" w:color="auto"/>
              </w:divBdr>
            </w:div>
          </w:divsChild>
        </w:div>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
          </w:divsChild>
        </w:div>
        <w:div w:id="1335568831">
          <w:marLeft w:val="0"/>
          <w:marRight w:val="0"/>
          <w:marTop w:val="0"/>
          <w:marBottom w:val="0"/>
          <w:divBdr>
            <w:top w:val="none" w:sz="0" w:space="0" w:color="auto"/>
            <w:left w:val="none" w:sz="0" w:space="0" w:color="auto"/>
            <w:bottom w:val="none" w:sz="0" w:space="0" w:color="auto"/>
            <w:right w:val="none" w:sz="0" w:space="0" w:color="auto"/>
          </w:divBdr>
          <w:divsChild>
            <w:div w:id="406997126">
              <w:marLeft w:val="0"/>
              <w:marRight w:val="0"/>
              <w:marTop w:val="0"/>
              <w:marBottom w:val="0"/>
              <w:divBdr>
                <w:top w:val="none" w:sz="0" w:space="0" w:color="auto"/>
                <w:left w:val="none" w:sz="0" w:space="0" w:color="auto"/>
                <w:bottom w:val="none" w:sz="0" w:space="0" w:color="auto"/>
                <w:right w:val="none" w:sz="0" w:space="0" w:color="auto"/>
              </w:divBdr>
            </w:div>
            <w:div w:id="1077480491">
              <w:marLeft w:val="0"/>
              <w:marRight w:val="0"/>
              <w:marTop w:val="0"/>
              <w:marBottom w:val="0"/>
              <w:divBdr>
                <w:top w:val="none" w:sz="0" w:space="0" w:color="auto"/>
                <w:left w:val="none" w:sz="0" w:space="0" w:color="auto"/>
                <w:bottom w:val="none" w:sz="0" w:space="0" w:color="auto"/>
                <w:right w:val="none" w:sz="0" w:space="0" w:color="auto"/>
              </w:divBdr>
            </w:div>
            <w:div w:id="1717505048">
              <w:marLeft w:val="0"/>
              <w:marRight w:val="0"/>
              <w:marTop w:val="0"/>
              <w:marBottom w:val="0"/>
              <w:divBdr>
                <w:top w:val="none" w:sz="0" w:space="0" w:color="auto"/>
                <w:left w:val="none" w:sz="0" w:space="0" w:color="auto"/>
                <w:bottom w:val="none" w:sz="0" w:space="0" w:color="auto"/>
                <w:right w:val="none" w:sz="0" w:space="0" w:color="auto"/>
              </w:divBdr>
            </w:div>
            <w:div w:id="1842818118">
              <w:marLeft w:val="0"/>
              <w:marRight w:val="0"/>
              <w:marTop w:val="0"/>
              <w:marBottom w:val="0"/>
              <w:divBdr>
                <w:top w:val="none" w:sz="0" w:space="0" w:color="auto"/>
                <w:left w:val="none" w:sz="0" w:space="0" w:color="auto"/>
                <w:bottom w:val="none" w:sz="0" w:space="0" w:color="auto"/>
                <w:right w:val="none" w:sz="0" w:space="0" w:color="auto"/>
              </w:divBdr>
            </w:div>
          </w:divsChild>
        </w:div>
        <w:div w:id="1357806349">
          <w:marLeft w:val="0"/>
          <w:marRight w:val="0"/>
          <w:marTop w:val="0"/>
          <w:marBottom w:val="0"/>
          <w:divBdr>
            <w:top w:val="none" w:sz="0" w:space="0" w:color="auto"/>
            <w:left w:val="none" w:sz="0" w:space="0" w:color="auto"/>
            <w:bottom w:val="none" w:sz="0" w:space="0" w:color="auto"/>
            <w:right w:val="none" w:sz="0" w:space="0" w:color="auto"/>
          </w:divBdr>
          <w:divsChild>
            <w:div w:id="1536187510">
              <w:marLeft w:val="0"/>
              <w:marRight w:val="0"/>
              <w:marTop w:val="0"/>
              <w:marBottom w:val="0"/>
              <w:divBdr>
                <w:top w:val="none" w:sz="0" w:space="0" w:color="auto"/>
                <w:left w:val="none" w:sz="0" w:space="0" w:color="auto"/>
                <w:bottom w:val="none" w:sz="0" w:space="0" w:color="auto"/>
                <w:right w:val="none" w:sz="0" w:space="0" w:color="auto"/>
              </w:divBdr>
            </w:div>
          </w:divsChild>
        </w:div>
        <w:div w:id="1671327650">
          <w:marLeft w:val="0"/>
          <w:marRight w:val="0"/>
          <w:marTop w:val="0"/>
          <w:marBottom w:val="0"/>
          <w:divBdr>
            <w:top w:val="none" w:sz="0" w:space="0" w:color="auto"/>
            <w:left w:val="none" w:sz="0" w:space="0" w:color="auto"/>
            <w:bottom w:val="none" w:sz="0" w:space="0" w:color="auto"/>
            <w:right w:val="none" w:sz="0" w:space="0" w:color="auto"/>
          </w:divBdr>
          <w:divsChild>
            <w:div w:id="1929382635">
              <w:marLeft w:val="0"/>
              <w:marRight w:val="0"/>
              <w:marTop w:val="0"/>
              <w:marBottom w:val="0"/>
              <w:divBdr>
                <w:top w:val="none" w:sz="0" w:space="0" w:color="auto"/>
                <w:left w:val="none" w:sz="0" w:space="0" w:color="auto"/>
                <w:bottom w:val="none" w:sz="0" w:space="0" w:color="auto"/>
                <w:right w:val="none" w:sz="0" w:space="0" w:color="auto"/>
              </w:divBdr>
            </w:div>
          </w:divsChild>
        </w:div>
        <w:div w:id="1705330667">
          <w:marLeft w:val="0"/>
          <w:marRight w:val="0"/>
          <w:marTop w:val="0"/>
          <w:marBottom w:val="0"/>
          <w:divBdr>
            <w:top w:val="none" w:sz="0" w:space="0" w:color="auto"/>
            <w:left w:val="none" w:sz="0" w:space="0" w:color="auto"/>
            <w:bottom w:val="none" w:sz="0" w:space="0" w:color="auto"/>
            <w:right w:val="none" w:sz="0" w:space="0" w:color="auto"/>
          </w:divBdr>
          <w:divsChild>
            <w:div w:id="42104675">
              <w:marLeft w:val="0"/>
              <w:marRight w:val="0"/>
              <w:marTop w:val="0"/>
              <w:marBottom w:val="0"/>
              <w:divBdr>
                <w:top w:val="none" w:sz="0" w:space="0" w:color="auto"/>
                <w:left w:val="none" w:sz="0" w:space="0" w:color="auto"/>
                <w:bottom w:val="none" w:sz="0" w:space="0" w:color="auto"/>
                <w:right w:val="none" w:sz="0" w:space="0" w:color="auto"/>
              </w:divBdr>
            </w:div>
            <w:div w:id="1247835710">
              <w:marLeft w:val="0"/>
              <w:marRight w:val="0"/>
              <w:marTop w:val="0"/>
              <w:marBottom w:val="0"/>
              <w:divBdr>
                <w:top w:val="none" w:sz="0" w:space="0" w:color="auto"/>
                <w:left w:val="none" w:sz="0" w:space="0" w:color="auto"/>
                <w:bottom w:val="none" w:sz="0" w:space="0" w:color="auto"/>
                <w:right w:val="none" w:sz="0" w:space="0" w:color="auto"/>
              </w:divBdr>
            </w:div>
          </w:divsChild>
        </w:div>
        <w:div w:id="1772778397">
          <w:marLeft w:val="0"/>
          <w:marRight w:val="0"/>
          <w:marTop w:val="0"/>
          <w:marBottom w:val="0"/>
          <w:divBdr>
            <w:top w:val="none" w:sz="0" w:space="0" w:color="auto"/>
            <w:left w:val="none" w:sz="0" w:space="0" w:color="auto"/>
            <w:bottom w:val="none" w:sz="0" w:space="0" w:color="auto"/>
            <w:right w:val="none" w:sz="0" w:space="0" w:color="auto"/>
          </w:divBdr>
          <w:divsChild>
            <w:div w:id="1841966249">
              <w:marLeft w:val="0"/>
              <w:marRight w:val="0"/>
              <w:marTop w:val="0"/>
              <w:marBottom w:val="0"/>
              <w:divBdr>
                <w:top w:val="none" w:sz="0" w:space="0" w:color="auto"/>
                <w:left w:val="none" w:sz="0" w:space="0" w:color="auto"/>
                <w:bottom w:val="none" w:sz="0" w:space="0" w:color="auto"/>
                <w:right w:val="none" w:sz="0" w:space="0" w:color="auto"/>
              </w:divBdr>
            </w:div>
            <w:div w:id="1908375377">
              <w:marLeft w:val="0"/>
              <w:marRight w:val="0"/>
              <w:marTop w:val="0"/>
              <w:marBottom w:val="0"/>
              <w:divBdr>
                <w:top w:val="none" w:sz="0" w:space="0" w:color="auto"/>
                <w:left w:val="none" w:sz="0" w:space="0" w:color="auto"/>
                <w:bottom w:val="none" w:sz="0" w:space="0" w:color="auto"/>
                <w:right w:val="none" w:sz="0" w:space="0" w:color="auto"/>
              </w:divBdr>
            </w:div>
          </w:divsChild>
        </w:div>
        <w:div w:id="1947813604">
          <w:marLeft w:val="0"/>
          <w:marRight w:val="0"/>
          <w:marTop w:val="0"/>
          <w:marBottom w:val="0"/>
          <w:divBdr>
            <w:top w:val="none" w:sz="0" w:space="0" w:color="auto"/>
            <w:left w:val="none" w:sz="0" w:space="0" w:color="auto"/>
            <w:bottom w:val="none" w:sz="0" w:space="0" w:color="auto"/>
            <w:right w:val="none" w:sz="0" w:space="0" w:color="auto"/>
          </w:divBdr>
          <w:divsChild>
            <w:div w:id="1022508860">
              <w:marLeft w:val="0"/>
              <w:marRight w:val="0"/>
              <w:marTop w:val="0"/>
              <w:marBottom w:val="0"/>
              <w:divBdr>
                <w:top w:val="none" w:sz="0" w:space="0" w:color="auto"/>
                <w:left w:val="none" w:sz="0" w:space="0" w:color="auto"/>
                <w:bottom w:val="none" w:sz="0" w:space="0" w:color="auto"/>
                <w:right w:val="none" w:sz="0" w:space="0" w:color="auto"/>
              </w:divBdr>
            </w:div>
          </w:divsChild>
        </w:div>
        <w:div w:id="2028824669">
          <w:marLeft w:val="0"/>
          <w:marRight w:val="0"/>
          <w:marTop w:val="0"/>
          <w:marBottom w:val="0"/>
          <w:divBdr>
            <w:top w:val="none" w:sz="0" w:space="0" w:color="auto"/>
            <w:left w:val="none" w:sz="0" w:space="0" w:color="auto"/>
            <w:bottom w:val="none" w:sz="0" w:space="0" w:color="auto"/>
            <w:right w:val="none" w:sz="0" w:space="0" w:color="auto"/>
          </w:divBdr>
          <w:divsChild>
            <w:div w:id="12671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8899">
      <w:bodyDiv w:val="1"/>
      <w:marLeft w:val="0"/>
      <w:marRight w:val="0"/>
      <w:marTop w:val="0"/>
      <w:marBottom w:val="0"/>
      <w:divBdr>
        <w:top w:val="none" w:sz="0" w:space="0" w:color="auto"/>
        <w:left w:val="none" w:sz="0" w:space="0" w:color="auto"/>
        <w:bottom w:val="none" w:sz="0" w:space="0" w:color="auto"/>
        <w:right w:val="none" w:sz="0" w:space="0" w:color="auto"/>
      </w:divBdr>
    </w:div>
    <w:div w:id="797452290">
      <w:bodyDiv w:val="1"/>
      <w:marLeft w:val="0"/>
      <w:marRight w:val="0"/>
      <w:marTop w:val="0"/>
      <w:marBottom w:val="0"/>
      <w:divBdr>
        <w:top w:val="none" w:sz="0" w:space="0" w:color="auto"/>
        <w:left w:val="none" w:sz="0" w:space="0" w:color="auto"/>
        <w:bottom w:val="none" w:sz="0" w:space="0" w:color="auto"/>
        <w:right w:val="none" w:sz="0" w:space="0" w:color="auto"/>
      </w:divBdr>
    </w:div>
    <w:div w:id="799955440">
      <w:bodyDiv w:val="1"/>
      <w:marLeft w:val="0"/>
      <w:marRight w:val="0"/>
      <w:marTop w:val="0"/>
      <w:marBottom w:val="0"/>
      <w:divBdr>
        <w:top w:val="none" w:sz="0" w:space="0" w:color="auto"/>
        <w:left w:val="none" w:sz="0" w:space="0" w:color="auto"/>
        <w:bottom w:val="none" w:sz="0" w:space="0" w:color="auto"/>
        <w:right w:val="none" w:sz="0" w:space="0" w:color="auto"/>
      </w:divBdr>
    </w:div>
    <w:div w:id="803080311">
      <w:bodyDiv w:val="1"/>
      <w:marLeft w:val="0"/>
      <w:marRight w:val="0"/>
      <w:marTop w:val="0"/>
      <w:marBottom w:val="0"/>
      <w:divBdr>
        <w:top w:val="none" w:sz="0" w:space="0" w:color="auto"/>
        <w:left w:val="none" w:sz="0" w:space="0" w:color="auto"/>
        <w:bottom w:val="none" w:sz="0" w:space="0" w:color="auto"/>
        <w:right w:val="none" w:sz="0" w:space="0" w:color="auto"/>
      </w:divBdr>
    </w:div>
    <w:div w:id="804201689">
      <w:bodyDiv w:val="1"/>
      <w:marLeft w:val="0"/>
      <w:marRight w:val="0"/>
      <w:marTop w:val="0"/>
      <w:marBottom w:val="0"/>
      <w:divBdr>
        <w:top w:val="none" w:sz="0" w:space="0" w:color="auto"/>
        <w:left w:val="none" w:sz="0" w:space="0" w:color="auto"/>
        <w:bottom w:val="none" w:sz="0" w:space="0" w:color="auto"/>
        <w:right w:val="none" w:sz="0" w:space="0" w:color="auto"/>
      </w:divBdr>
    </w:div>
    <w:div w:id="808284416">
      <w:bodyDiv w:val="1"/>
      <w:marLeft w:val="0"/>
      <w:marRight w:val="0"/>
      <w:marTop w:val="0"/>
      <w:marBottom w:val="0"/>
      <w:divBdr>
        <w:top w:val="none" w:sz="0" w:space="0" w:color="auto"/>
        <w:left w:val="none" w:sz="0" w:space="0" w:color="auto"/>
        <w:bottom w:val="none" w:sz="0" w:space="0" w:color="auto"/>
        <w:right w:val="none" w:sz="0" w:space="0" w:color="auto"/>
      </w:divBdr>
    </w:div>
    <w:div w:id="810367392">
      <w:bodyDiv w:val="1"/>
      <w:marLeft w:val="0"/>
      <w:marRight w:val="0"/>
      <w:marTop w:val="0"/>
      <w:marBottom w:val="0"/>
      <w:divBdr>
        <w:top w:val="none" w:sz="0" w:space="0" w:color="auto"/>
        <w:left w:val="none" w:sz="0" w:space="0" w:color="auto"/>
        <w:bottom w:val="none" w:sz="0" w:space="0" w:color="auto"/>
        <w:right w:val="none" w:sz="0" w:space="0" w:color="auto"/>
      </w:divBdr>
    </w:div>
    <w:div w:id="811993270">
      <w:bodyDiv w:val="1"/>
      <w:marLeft w:val="0"/>
      <w:marRight w:val="0"/>
      <w:marTop w:val="0"/>
      <w:marBottom w:val="0"/>
      <w:divBdr>
        <w:top w:val="none" w:sz="0" w:space="0" w:color="auto"/>
        <w:left w:val="none" w:sz="0" w:space="0" w:color="auto"/>
        <w:bottom w:val="none" w:sz="0" w:space="0" w:color="auto"/>
        <w:right w:val="none" w:sz="0" w:space="0" w:color="auto"/>
      </w:divBdr>
    </w:div>
    <w:div w:id="813982421">
      <w:bodyDiv w:val="1"/>
      <w:marLeft w:val="0"/>
      <w:marRight w:val="0"/>
      <w:marTop w:val="0"/>
      <w:marBottom w:val="0"/>
      <w:divBdr>
        <w:top w:val="none" w:sz="0" w:space="0" w:color="auto"/>
        <w:left w:val="none" w:sz="0" w:space="0" w:color="auto"/>
        <w:bottom w:val="none" w:sz="0" w:space="0" w:color="auto"/>
        <w:right w:val="none" w:sz="0" w:space="0" w:color="auto"/>
      </w:divBdr>
    </w:div>
    <w:div w:id="814447603">
      <w:bodyDiv w:val="1"/>
      <w:marLeft w:val="0"/>
      <w:marRight w:val="0"/>
      <w:marTop w:val="0"/>
      <w:marBottom w:val="0"/>
      <w:divBdr>
        <w:top w:val="none" w:sz="0" w:space="0" w:color="auto"/>
        <w:left w:val="none" w:sz="0" w:space="0" w:color="auto"/>
        <w:bottom w:val="none" w:sz="0" w:space="0" w:color="auto"/>
        <w:right w:val="none" w:sz="0" w:space="0" w:color="auto"/>
      </w:divBdr>
    </w:div>
    <w:div w:id="827019838">
      <w:bodyDiv w:val="1"/>
      <w:marLeft w:val="0"/>
      <w:marRight w:val="0"/>
      <w:marTop w:val="0"/>
      <w:marBottom w:val="0"/>
      <w:divBdr>
        <w:top w:val="none" w:sz="0" w:space="0" w:color="auto"/>
        <w:left w:val="none" w:sz="0" w:space="0" w:color="auto"/>
        <w:bottom w:val="none" w:sz="0" w:space="0" w:color="auto"/>
        <w:right w:val="none" w:sz="0" w:space="0" w:color="auto"/>
      </w:divBdr>
    </w:div>
    <w:div w:id="828516336">
      <w:bodyDiv w:val="1"/>
      <w:marLeft w:val="0"/>
      <w:marRight w:val="0"/>
      <w:marTop w:val="0"/>
      <w:marBottom w:val="0"/>
      <w:divBdr>
        <w:top w:val="none" w:sz="0" w:space="0" w:color="auto"/>
        <w:left w:val="none" w:sz="0" w:space="0" w:color="auto"/>
        <w:bottom w:val="none" w:sz="0" w:space="0" w:color="auto"/>
        <w:right w:val="none" w:sz="0" w:space="0" w:color="auto"/>
      </w:divBdr>
    </w:div>
    <w:div w:id="828785382">
      <w:bodyDiv w:val="1"/>
      <w:marLeft w:val="0"/>
      <w:marRight w:val="0"/>
      <w:marTop w:val="0"/>
      <w:marBottom w:val="0"/>
      <w:divBdr>
        <w:top w:val="none" w:sz="0" w:space="0" w:color="auto"/>
        <w:left w:val="none" w:sz="0" w:space="0" w:color="auto"/>
        <w:bottom w:val="none" w:sz="0" w:space="0" w:color="auto"/>
        <w:right w:val="none" w:sz="0" w:space="0" w:color="auto"/>
      </w:divBdr>
    </w:div>
    <w:div w:id="834224150">
      <w:bodyDiv w:val="1"/>
      <w:marLeft w:val="0"/>
      <w:marRight w:val="0"/>
      <w:marTop w:val="0"/>
      <w:marBottom w:val="0"/>
      <w:divBdr>
        <w:top w:val="none" w:sz="0" w:space="0" w:color="auto"/>
        <w:left w:val="none" w:sz="0" w:space="0" w:color="auto"/>
        <w:bottom w:val="none" w:sz="0" w:space="0" w:color="auto"/>
        <w:right w:val="none" w:sz="0" w:space="0" w:color="auto"/>
      </w:divBdr>
    </w:div>
    <w:div w:id="835026711">
      <w:bodyDiv w:val="1"/>
      <w:marLeft w:val="0"/>
      <w:marRight w:val="0"/>
      <w:marTop w:val="0"/>
      <w:marBottom w:val="0"/>
      <w:divBdr>
        <w:top w:val="none" w:sz="0" w:space="0" w:color="auto"/>
        <w:left w:val="none" w:sz="0" w:space="0" w:color="auto"/>
        <w:bottom w:val="none" w:sz="0" w:space="0" w:color="auto"/>
        <w:right w:val="none" w:sz="0" w:space="0" w:color="auto"/>
      </w:divBdr>
    </w:div>
    <w:div w:id="836116316">
      <w:bodyDiv w:val="1"/>
      <w:marLeft w:val="0"/>
      <w:marRight w:val="0"/>
      <w:marTop w:val="0"/>
      <w:marBottom w:val="0"/>
      <w:divBdr>
        <w:top w:val="none" w:sz="0" w:space="0" w:color="auto"/>
        <w:left w:val="none" w:sz="0" w:space="0" w:color="auto"/>
        <w:bottom w:val="none" w:sz="0" w:space="0" w:color="auto"/>
        <w:right w:val="none" w:sz="0" w:space="0" w:color="auto"/>
      </w:divBdr>
    </w:div>
    <w:div w:id="836578765">
      <w:bodyDiv w:val="1"/>
      <w:marLeft w:val="0"/>
      <w:marRight w:val="0"/>
      <w:marTop w:val="0"/>
      <w:marBottom w:val="0"/>
      <w:divBdr>
        <w:top w:val="none" w:sz="0" w:space="0" w:color="auto"/>
        <w:left w:val="none" w:sz="0" w:space="0" w:color="auto"/>
        <w:bottom w:val="none" w:sz="0" w:space="0" w:color="auto"/>
        <w:right w:val="none" w:sz="0" w:space="0" w:color="auto"/>
      </w:divBdr>
    </w:div>
    <w:div w:id="837159235">
      <w:bodyDiv w:val="1"/>
      <w:marLeft w:val="0"/>
      <w:marRight w:val="0"/>
      <w:marTop w:val="0"/>
      <w:marBottom w:val="0"/>
      <w:divBdr>
        <w:top w:val="none" w:sz="0" w:space="0" w:color="auto"/>
        <w:left w:val="none" w:sz="0" w:space="0" w:color="auto"/>
        <w:bottom w:val="none" w:sz="0" w:space="0" w:color="auto"/>
        <w:right w:val="none" w:sz="0" w:space="0" w:color="auto"/>
      </w:divBdr>
    </w:div>
    <w:div w:id="837698599">
      <w:bodyDiv w:val="1"/>
      <w:marLeft w:val="0"/>
      <w:marRight w:val="0"/>
      <w:marTop w:val="0"/>
      <w:marBottom w:val="0"/>
      <w:divBdr>
        <w:top w:val="none" w:sz="0" w:space="0" w:color="auto"/>
        <w:left w:val="none" w:sz="0" w:space="0" w:color="auto"/>
        <w:bottom w:val="none" w:sz="0" w:space="0" w:color="auto"/>
        <w:right w:val="none" w:sz="0" w:space="0" w:color="auto"/>
      </w:divBdr>
    </w:div>
    <w:div w:id="838078979">
      <w:bodyDiv w:val="1"/>
      <w:marLeft w:val="0"/>
      <w:marRight w:val="0"/>
      <w:marTop w:val="0"/>
      <w:marBottom w:val="0"/>
      <w:divBdr>
        <w:top w:val="none" w:sz="0" w:space="0" w:color="auto"/>
        <w:left w:val="none" w:sz="0" w:space="0" w:color="auto"/>
        <w:bottom w:val="none" w:sz="0" w:space="0" w:color="auto"/>
        <w:right w:val="none" w:sz="0" w:space="0" w:color="auto"/>
      </w:divBdr>
    </w:div>
    <w:div w:id="838927995">
      <w:bodyDiv w:val="1"/>
      <w:marLeft w:val="0"/>
      <w:marRight w:val="0"/>
      <w:marTop w:val="0"/>
      <w:marBottom w:val="0"/>
      <w:divBdr>
        <w:top w:val="none" w:sz="0" w:space="0" w:color="auto"/>
        <w:left w:val="none" w:sz="0" w:space="0" w:color="auto"/>
        <w:bottom w:val="none" w:sz="0" w:space="0" w:color="auto"/>
        <w:right w:val="none" w:sz="0" w:space="0" w:color="auto"/>
      </w:divBdr>
    </w:div>
    <w:div w:id="851530794">
      <w:bodyDiv w:val="1"/>
      <w:marLeft w:val="0"/>
      <w:marRight w:val="0"/>
      <w:marTop w:val="0"/>
      <w:marBottom w:val="0"/>
      <w:divBdr>
        <w:top w:val="none" w:sz="0" w:space="0" w:color="auto"/>
        <w:left w:val="none" w:sz="0" w:space="0" w:color="auto"/>
        <w:bottom w:val="none" w:sz="0" w:space="0" w:color="auto"/>
        <w:right w:val="none" w:sz="0" w:space="0" w:color="auto"/>
      </w:divBdr>
    </w:div>
    <w:div w:id="852035403">
      <w:bodyDiv w:val="1"/>
      <w:marLeft w:val="0"/>
      <w:marRight w:val="0"/>
      <w:marTop w:val="0"/>
      <w:marBottom w:val="0"/>
      <w:divBdr>
        <w:top w:val="none" w:sz="0" w:space="0" w:color="auto"/>
        <w:left w:val="none" w:sz="0" w:space="0" w:color="auto"/>
        <w:bottom w:val="none" w:sz="0" w:space="0" w:color="auto"/>
        <w:right w:val="none" w:sz="0" w:space="0" w:color="auto"/>
      </w:divBdr>
    </w:div>
    <w:div w:id="855074495">
      <w:bodyDiv w:val="1"/>
      <w:marLeft w:val="0"/>
      <w:marRight w:val="0"/>
      <w:marTop w:val="0"/>
      <w:marBottom w:val="0"/>
      <w:divBdr>
        <w:top w:val="none" w:sz="0" w:space="0" w:color="auto"/>
        <w:left w:val="none" w:sz="0" w:space="0" w:color="auto"/>
        <w:bottom w:val="none" w:sz="0" w:space="0" w:color="auto"/>
        <w:right w:val="none" w:sz="0" w:space="0" w:color="auto"/>
      </w:divBdr>
    </w:div>
    <w:div w:id="855385520">
      <w:bodyDiv w:val="1"/>
      <w:marLeft w:val="0"/>
      <w:marRight w:val="0"/>
      <w:marTop w:val="0"/>
      <w:marBottom w:val="0"/>
      <w:divBdr>
        <w:top w:val="none" w:sz="0" w:space="0" w:color="auto"/>
        <w:left w:val="none" w:sz="0" w:space="0" w:color="auto"/>
        <w:bottom w:val="none" w:sz="0" w:space="0" w:color="auto"/>
        <w:right w:val="none" w:sz="0" w:space="0" w:color="auto"/>
      </w:divBdr>
    </w:div>
    <w:div w:id="864556783">
      <w:bodyDiv w:val="1"/>
      <w:marLeft w:val="0"/>
      <w:marRight w:val="0"/>
      <w:marTop w:val="0"/>
      <w:marBottom w:val="0"/>
      <w:divBdr>
        <w:top w:val="none" w:sz="0" w:space="0" w:color="auto"/>
        <w:left w:val="none" w:sz="0" w:space="0" w:color="auto"/>
        <w:bottom w:val="none" w:sz="0" w:space="0" w:color="auto"/>
        <w:right w:val="none" w:sz="0" w:space="0" w:color="auto"/>
      </w:divBdr>
    </w:div>
    <w:div w:id="866142524">
      <w:bodyDiv w:val="1"/>
      <w:marLeft w:val="0"/>
      <w:marRight w:val="0"/>
      <w:marTop w:val="0"/>
      <w:marBottom w:val="0"/>
      <w:divBdr>
        <w:top w:val="none" w:sz="0" w:space="0" w:color="auto"/>
        <w:left w:val="none" w:sz="0" w:space="0" w:color="auto"/>
        <w:bottom w:val="none" w:sz="0" w:space="0" w:color="auto"/>
        <w:right w:val="none" w:sz="0" w:space="0" w:color="auto"/>
      </w:divBdr>
    </w:div>
    <w:div w:id="869075007">
      <w:bodyDiv w:val="1"/>
      <w:marLeft w:val="0"/>
      <w:marRight w:val="0"/>
      <w:marTop w:val="0"/>
      <w:marBottom w:val="0"/>
      <w:divBdr>
        <w:top w:val="none" w:sz="0" w:space="0" w:color="auto"/>
        <w:left w:val="none" w:sz="0" w:space="0" w:color="auto"/>
        <w:bottom w:val="none" w:sz="0" w:space="0" w:color="auto"/>
        <w:right w:val="none" w:sz="0" w:space="0" w:color="auto"/>
      </w:divBdr>
    </w:div>
    <w:div w:id="869342127">
      <w:bodyDiv w:val="1"/>
      <w:marLeft w:val="0"/>
      <w:marRight w:val="0"/>
      <w:marTop w:val="0"/>
      <w:marBottom w:val="0"/>
      <w:divBdr>
        <w:top w:val="none" w:sz="0" w:space="0" w:color="auto"/>
        <w:left w:val="none" w:sz="0" w:space="0" w:color="auto"/>
        <w:bottom w:val="none" w:sz="0" w:space="0" w:color="auto"/>
        <w:right w:val="none" w:sz="0" w:space="0" w:color="auto"/>
      </w:divBdr>
    </w:div>
    <w:div w:id="873730595">
      <w:bodyDiv w:val="1"/>
      <w:marLeft w:val="0"/>
      <w:marRight w:val="0"/>
      <w:marTop w:val="0"/>
      <w:marBottom w:val="0"/>
      <w:divBdr>
        <w:top w:val="none" w:sz="0" w:space="0" w:color="auto"/>
        <w:left w:val="none" w:sz="0" w:space="0" w:color="auto"/>
        <w:bottom w:val="none" w:sz="0" w:space="0" w:color="auto"/>
        <w:right w:val="none" w:sz="0" w:space="0" w:color="auto"/>
      </w:divBdr>
    </w:div>
    <w:div w:id="881132339">
      <w:bodyDiv w:val="1"/>
      <w:marLeft w:val="0"/>
      <w:marRight w:val="0"/>
      <w:marTop w:val="0"/>
      <w:marBottom w:val="0"/>
      <w:divBdr>
        <w:top w:val="none" w:sz="0" w:space="0" w:color="auto"/>
        <w:left w:val="none" w:sz="0" w:space="0" w:color="auto"/>
        <w:bottom w:val="none" w:sz="0" w:space="0" w:color="auto"/>
        <w:right w:val="none" w:sz="0" w:space="0" w:color="auto"/>
      </w:divBdr>
    </w:div>
    <w:div w:id="881476502">
      <w:bodyDiv w:val="1"/>
      <w:marLeft w:val="0"/>
      <w:marRight w:val="0"/>
      <w:marTop w:val="0"/>
      <w:marBottom w:val="0"/>
      <w:divBdr>
        <w:top w:val="none" w:sz="0" w:space="0" w:color="auto"/>
        <w:left w:val="none" w:sz="0" w:space="0" w:color="auto"/>
        <w:bottom w:val="none" w:sz="0" w:space="0" w:color="auto"/>
        <w:right w:val="none" w:sz="0" w:space="0" w:color="auto"/>
      </w:divBdr>
    </w:div>
    <w:div w:id="882601319">
      <w:bodyDiv w:val="1"/>
      <w:marLeft w:val="0"/>
      <w:marRight w:val="0"/>
      <w:marTop w:val="0"/>
      <w:marBottom w:val="0"/>
      <w:divBdr>
        <w:top w:val="none" w:sz="0" w:space="0" w:color="auto"/>
        <w:left w:val="none" w:sz="0" w:space="0" w:color="auto"/>
        <w:bottom w:val="none" w:sz="0" w:space="0" w:color="auto"/>
        <w:right w:val="none" w:sz="0" w:space="0" w:color="auto"/>
      </w:divBdr>
    </w:div>
    <w:div w:id="887105135">
      <w:bodyDiv w:val="1"/>
      <w:marLeft w:val="0"/>
      <w:marRight w:val="0"/>
      <w:marTop w:val="0"/>
      <w:marBottom w:val="0"/>
      <w:divBdr>
        <w:top w:val="none" w:sz="0" w:space="0" w:color="auto"/>
        <w:left w:val="none" w:sz="0" w:space="0" w:color="auto"/>
        <w:bottom w:val="none" w:sz="0" w:space="0" w:color="auto"/>
        <w:right w:val="none" w:sz="0" w:space="0" w:color="auto"/>
      </w:divBdr>
    </w:div>
    <w:div w:id="888957925">
      <w:bodyDiv w:val="1"/>
      <w:marLeft w:val="0"/>
      <w:marRight w:val="0"/>
      <w:marTop w:val="0"/>
      <w:marBottom w:val="0"/>
      <w:divBdr>
        <w:top w:val="none" w:sz="0" w:space="0" w:color="auto"/>
        <w:left w:val="none" w:sz="0" w:space="0" w:color="auto"/>
        <w:bottom w:val="none" w:sz="0" w:space="0" w:color="auto"/>
        <w:right w:val="none" w:sz="0" w:space="0" w:color="auto"/>
      </w:divBdr>
    </w:div>
    <w:div w:id="896891796">
      <w:bodyDiv w:val="1"/>
      <w:marLeft w:val="0"/>
      <w:marRight w:val="0"/>
      <w:marTop w:val="0"/>
      <w:marBottom w:val="0"/>
      <w:divBdr>
        <w:top w:val="none" w:sz="0" w:space="0" w:color="auto"/>
        <w:left w:val="none" w:sz="0" w:space="0" w:color="auto"/>
        <w:bottom w:val="none" w:sz="0" w:space="0" w:color="auto"/>
        <w:right w:val="none" w:sz="0" w:space="0" w:color="auto"/>
      </w:divBdr>
    </w:div>
    <w:div w:id="897789793">
      <w:bodyDiv w:val="1"/>
      <w:marLeft w:val="0"/>
      <w:marRight w:val="0"/>
      <w:marTop w:val="0"/>
      <w:marBottom w:val="0"/>
      <w:divBdr>
        <w:top w:val="none" w:sz="0" w:space="0" w:color="auto"/>
        <w:left w:val="none" w:sz="0" w:space="0" w:color="auto"/>
        <w:bottom w:val="none" w:sz="0" w:space="0" w:color="auto"/>
        <w:right w:val="none" w:sz="0" w:space="0" w:color="auto"/>
      </w:divBdr>
    </w:div>
    <w:div w:id="899442573">
      <w:bodyDiv w:val="1"/>
      <w:marLeft w:val="0"/>
      <w:marRight w:val="0"/>
      <w:marTop w:val="0"/>
      <w:marBottom w:val="0"/>
      <w:divBdr>
        <w:top w:val="none" w:sz="0" w:space="0" w:color="auto"/>
        <w:left w:val="none" w:sz="0" w:space="0" w:color="auto"/>
        <w:bottom w:val="none" w:sz="0" w:space="0" w:color="auto"/>
        <w:right w:val="none" w:sz="0" w:space="0" w:color="auto"/>
      </w:divBdr>
    </w:div>
    <w:div w:id="899753985">
      <w:bodyDiv w:val="1"/>
      <w:marLeft w:val="0"/>
      <w:marRight w:val="0"/>
      <w:marTop w:val="0"/>
      <w:marBottom w:val="0"/>
      <w:divBdr>
        <w:top w:val="none" w:sz="0" w:space="0" w:color="auto"/>
        <w:left w:val="none" w:sz="0" w:space="0" w:color="auto"/>
        <w:bottom w:val="none" w:sz="0" w:space="0" w:color="auto"/>
        <w:right w:val="none" w:sz="0" w:space="0" w:color="auto"/>
      </w:divBdr>
    </w:div>
    <w:div w:id="911741980">
      <w:bodyDiv w:val="1"/>
      <w:marLeft w:val="0"/>
      <w:marRight w:val="0"/>
      <w:marTop w:val="0"/>
      <w:marBottom w:val="0"/>
      <w:divBdr>
        <w:top w:val="none" w:sz="0" w:space="0" w:color="auto"/>
        <w:left w:val="none" w:sz="0" w:space="0" w:color="auto"/>
        <w:bottom w:val="none" w:sz="0" w:space="0" w:color="auto"/>
        <w:right w:val="none" w:sz="0" w:space="0" w:color="auto"/>
      </w:divBdr>
    </w:div>
    <w:div w:id="911815916">
      <w:bodyDiv w:val="1"/>
      <w:marLeft w:val="0"/>
      <w:marRight w:val="0"/>
      <w:marTop w:val="0"/>
      <w:marBottom w:val="0"/>
      <w:divBdr>
        <w:top w:val="none" w:sz="0" w:space="0" w:color="auto"/>
        <w:left w:val="none" w:sz="0" w:space="0" w:color="auto"/>
        <w:bottom w:val="none" w:sz="0" w:space="0" w:color="auto"/>
        <w:right w:val="none" w:sz="0" w:space="0" w:color="auto"/>
      </w:divBdr>
    </w:div>
    <w:div w:id="912736485">
      <w:bodyDiv w:val="1"/>
      <w:marLeft w:val="0"/>
      <w:marRight w:val="0"/>
      <w:marTop w:val="0"/>
      <w:marBottom w:val="0"/>
      <w:divBdr>
        <w:top w:val="none" w:sz="0" w:space="0" w:color="auto"/>
        <w:left w:val="none" w:sz="0" w:space="0" w:color="auto"/>
        <w:bottom w:val="none" w:sz="0" w:space="0" w:color="auto"/>
        <w:right w:val="none" w:sz="0" w:space="0" w:color="auto"/>
      </w:divBdr>
    </w:div>
    <w:div w:id="915475691">
      <w:bodyDiv w:val="1"/>
      <w:marLeft w:val="0"/>
      <w:marRight w:val="0"/>
      <w:marTop w:val="0"/>
      <w:marBottom w:val="0"/>
      <w:divBdr>
        <w:top w:val="none" w:sz="0" w:space="0" w:color="auto"/>
        <w:left w:val="none" w:sz="0" w:space="0" w:color="auto"/>
        <w:bottom w:val="none" w:sz="0" w:space="0" w:color="auto"/>
        <w:right w:val="none" w:sz="0" w:space="0" w:color="auto"/>
      </w:divBdr>
    </w:div>
    <w:div w:id="920914613">
      <w:bodyDiv w:val="1"/>
      <w:marLeft w:val="0"/>
      <w:marRight w:val="0"/>
      <w:marTop w:val="0"/>
      <w:marBottom w:val="0"/>
      <w:divBdr>
        <w:top w:val="none" w:sz="0" w:space="0" w:color="auto"/>
        <w:left w:val="none" w:sz="0" w:space="0" w:color="auto"/>
        <w:bottom w:val="none" w:sz="0" w:space="0" w:color="auto"/>
        <w:right w:val="none" w:sz="0" w:space="0" w:color="auto"/>
      </w:divBdr>
    </w:div>
    <w:div w:id="921110895">
      <w:bodyDiv w:val="1"/>
      <w:marLeft w:val="0"/>
      <w:marRight w:val="0"/>
      <w:marTop w:val="0"/>
      <w:marBottom w:val="0"/>
      <w:divBdr>
        <w:top w:val="none" w:sz="0" w:space="0" w:color="auto"/>
        <w:left w:val="none" w:sz="0" w:space="0" w:color="auto"/>
        <w:bottom w:val="none" w:sz="0" w:space="0" w:color="auto"/>
        <w:right w:val="none" w:sz="0" w:space="0" w:color="auto"/>
      </w:divBdr>
    </w:div>
    <w:div w:id="921647997">
      <w:bodyDiv w:val="1"/>
      <w:marLeft w:val="0"/>
      <w:marRight w:val="0"/>
      <w:marTop w:val="0"/>
      <w:marBottom w:val="0"/>
      <w:divBdr>
        <w:top w:val="none" w:sz="0" w:space="0" w:color="auto"/>
        <w:left w:val="none" w:sz="0" w:space="0" w:color="auto"/>
        <w:bottom w:val="none" w:sz="0" w:space="0" w:color="auto"/>
        <w:right w:val="none" w:sz="0" w:space="0" w:color="auto"/>
      </w:divBdr>
    </w:div>
    <w:div w:id="924652114">
      <w:bodyDiv w:val="1"/>
      <w:marLeft w:val="0"/>
      <w:marRight w:val="0"/>
      <w:marTop w:val="0"/>
      <w:marBottom w:val="0"/>
      <w:divBdr>
        <w:top w:val="none" w:sz="0" w:space="0" w:color="auto"/>
        <w:left w:val="none" w:sz="0" w:space="0" w:color="auto"/>
        <w:bottom w:val="none" w:sz="0" w:space="0" w:color="auto"/>
        <w:right w:val="none" w:sz="0" w:space="0" w:color="auto"/>
      </w:divBdr>
    </w:div>
    <w:div w:id="929852080">
      <w:bodyDiv w:val="1"/>
      <w:marLeft w:val="0"/>
      <w:marRight w:val="0"/>
      <w:marTop w:val="0"/>
      <w:marBottom w:val="0"/>
      <w:divBdr>
        <w:top w:val="none" w:sz="0" w:space="0" w:color="auto"/>
        <w:left w:val="none" w:sz="0" w:space="0" w:color="auto"/>
        <w:bottom w:val="none" w:sz="0" w:space="0" w:color="auto"/>
        <w:right w:val="none" w:sz="0" w:space="0" w:color="auto"/>
      </w:divBdr>
    </w:div>
    <w:div w:id="935476939">
      <w:bodyDiv w:val="1"/>
      <w:marLeft w:val="0"/>
      <w:marRight w:val="0"/>
      <w:marTop w:val="0"/>
      <w:marBottom w:val="0"/>
      <w:divBdr>
        <w:top w:val="none" w:sz="0" w:space="0" w:color="auto"/>
        <w:left w:val="none" w:sz="0" w:space="0" w:color="auto"/>
        <w:bottom w:val="none" w:sz="0" w:space="0" w:color="auto"/>
        <w:right w:val="none" w:sz="0" w:space="0" w:color="auto"/>
      </w:divBdr>
    </w:div>
    <w:div w:id="939487304">
      <w:bodyDiv w:val="1"/>
      <w:marLeft w:val="0"/>
      <w:marRight w:val="0"/>
      <w:marTop w:val="0"/>
      <w:marBottom w:val="0"/>
      <w:divBdr>
        <w:top w:val="none" w:sz="0" w:space="0" w:color="auto"/>
        <w:left w:val="none" w:sz="0" w:space="0" w:color="auto"/>
        <w:bottom w:val="none" w:sz="0" w:space="0" w:color="auto"/>
        <w:right w:val="none" w:sz="0" w:space="0" w:color="auto"/>
      </w:divBdr>
    </w:div>
    <w:div w:id="939869981">
      <w:bodyDiv w:val="1"/>
      <w:marLeft w:val="0"/>
      <w:marRight w:val="0"/>
      <w:marTop w:val="0"/>
      <w:marBottom w:val="0"/>
      <w:divBdr>
        <w:top w:val="none" w:sz="0" w:space="0" w:color="auto"/>
        <w:left w:val="none" w:sz="0" w:space="0" w:color="auto"/>
        <w:bottom w:val="none" w:sz="0" w:space="0" w:color="auto"/>
        <w:right w:val="none" w:sz="0" w:space="0" w:color="auto"/>
      </w:divBdr>
    </w:div>
    <w:div w:id="942762550">
      <w:bodyDiv w:val="1"/>
      <w:marLeft w:val="0"/>
      <w:marRight w:val="0"/>
      <w:marTop w:val="0"/>
      <w:marBottom w:val="0"/>
      <w:divBdr>
        <w:top w:val="none" w:sz="0" w:space="0" w:color="auto"/>
        <w:left w:val="none" w:sz="0" w:space="0" w:color="auto"/>
        <w:bottom w:val="none" w:sz="0" w:space="0" w:color="auto"/>
        <w:right w:val="none" w:sz="0" w:space="0" w:color="auto"/>
      </w:divBdr>
    </w:div>
    <w:div w:id="943809543">
      <w:bodyDiv w:val="1"/>
      <w:marLeft w:val="0"/>
      <w:marRight w:val="0"/>
      <w:marTop w:val="0"/>
      <w:marBottom w:val="0"/>
      <w:divBdr>
        <w:top w:val="none" w:sz="0" w:space="0" w:color="auto"/>
        <w:left w:val="none" w:sz="0" w:space="0" w:color="auto"/>
        <w:bottom w:val="none" w:sz="0" w:space="0" w:color="auto"/>
        <w:right w:val="none" w:sz="0" w:space="0" w:color="auto"/>
      </w:divBdr>
    </w:div>
    <w:div w:id="945234540">
      <w:bodyDiv w:val="1"/>
      <w:marLeft w:val="0"/>
      <w:marRight w:val="0"/>
      <w:marTop w:val="0"/>
      <w:marBottom w:val="0"/>
      <w:divBdr>
        <w:top w:val="none" w:sz="0" w:space="0" w:color="auto"/>
        <w:left w:val="none" w:sz="0" w:space="0" w:color="auto"/>
        <w:bottom w:val="none" w:sz="0" w:space="0" w:color="auto"/>
        <w:right w:val="none" w:sz="0" w:space="0" w:color="auto"/>
      </w:divBdr>
    </w:div>
    <w:div w:id="951666298">
      <w:bodyDiv w:val="1"/>
      <w:marLeft w:val="0"/>
      <w:marRight w:val="0"/>
      <w:marTop w:val="0"/>
      <w:marBottom w:val="0"/>
      <w:divBdr>
        <w:top w:val="none" w:sz="0" w:space="0" w:color="auto"/>
        <w:left w:val="none" w:sz="0" w:space="0" w:color="auto"/>
        <w:bottom w:val="none" w:sz="0" w:space="0" w:color="auto"/>
        <w:right w:val="none" w:sz="0" w:space="0" w:color="auto"/>
      </w:divBdr>
    </w:div>
    <w:div w:id="952636368">
      <w:bodyDiv w:val="1"/>
      <w:marLeft w:val="0"/>
      <w:marRight w:val="0"/>
      <w:marTop w:val="0"/>
      <w:marBottom w:val="0"/>
      <w:divBdr>
        <w:top w:val="none" w:sz="0" w:space="0" w:color="auto"/>
        <w:left w:val="none" w:sz="0" w:space="0" w:color="auto"/>
        <w:bottom w:val="none" w:sz="0" w:space="0" w:color="auto"/>
        <w:right w:val="none" w:sz="0" w:space="0" w:color="auto"/>
      </w:divBdr>
    </w:div>
    <w:div w:id="960724241">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2950923">
      <w:bodyDiv w:val="1"/>
      <w:marLeft w:val="0"/>
      <w:marRight w:val="0"/>
      <w:marTop w:val="0"/>
      <w:marBottom w:val="0"/>
      <w:divBdr>
        <w:top w:val="none" w:sz="0" w:space="0" w:color="auto"/>
        <w:left w:val="none" w:sz="0" w:space="0" w:color="auto"/>
        <w:bottom w:val="none" w:sz="0" w:space="0" w:color="auto"/>
        <w:right w:val="none" w:sz="0" w:space="0" w:color="auto"/>
      </w:divBdr>
    </w:div>
    <w:div w:id="973947090">
      <w:bodyDiv w:val="1"/>
      <w:marLeft w:val="0"/>
      <w:marRight w:val="0"/>
      <w:marTop w:val="0"/>
      <w:marBottom w:val="0"/>
      <w:divBdr>
        <w:top w:val="none" w:sz="0" w:space="0" w:color="auto"/>
        <w:left w:val="none" w:sz="0" w:space="0" w:color="auto"/>
        <w:bottom w:val="none" w:sz="0" w:space="0" w:color="auto"/>
        <w:right w:val="none" w:sz="0" w:space="0" w:color="auto"/>
      </w:divBdr>
    </w:div>
    <w:div w:id="977563745">
      <w:bodyDiv w:val="1"/>
      <w:marLeft w:val="0"/>
      <w:marRight w:val="0"/>
      <w:marTop w:val="0"/>
      <w:marBottom w:val="0"/>
      <w:divBdr>
        <w:top w:val="none" w:sz="0" w:space="0" w:color="auto"/>
        <w:left w:val="none" w:sz="0" w:space="0" w:color="auto"/>
        <w:bottom w:val="none" w:sz="0" w:space="0" w:color="auto"/>
        <w:right w:val="none" w:sz="0" w:space="0" w:color="auto"/>
      </w:divBdr>
    </w:div>
    <w:div w:id="982540223">
      <w:bodyDiv w:val="1"/>
      <w:marLeft w:val="0"/>
      <w:marRight w:val="0"/>
      <w:marTop w:val="0"/>
      <w:marBottom w:val="0"/>
      <w:divBdr>
        <w:top w:val="none" w:sz="0" w:space="0" w:color="auto"/>
        <w:left w:val="none" w:sz="0" w:space="0" w:color="auto"/>
        <w:bottom w:val="none" w:sz="0" w:space="0" w:color="auto"/>
        <w:right w:val="none" w:sz="0" w:space="0" w:color="auto"/>
      </w:divBdr>
    </w:div>
    <w:div w:id="990645097">
      <w:bodyDiv w:val="1"/>
      <w:marLeft w:val="0"/>
      <w:marRight w:val="0"/>
      <w:marTop w:val="0"/>
      <w:marBottom w:val="0"/>
      <w:divBdr>
        <w:top w:val="none" w:sz="0" w:space="0" w:color="auto"/>
        <w:left w:val="none" w:sz="0" w:space="0" w:color="auto"/>
        <w:bottom w:val="none" w:sz="0" w:space="0" w:color="auto"/>
        <w:right w:val="none" w:sz="0" w:space="0" w:color="auto"/>
      </w:divBdr>
    </w:div>
    <w:div w:id="995063740">
      <w:bodyDiv w:val="1"/>
      <w:marLeft w:val="0"/>
      <w:marRight w:val="0"/>
      <w:marTop w:val="0"/>
      <w:marBottom w:val="0"/>
      <w:divBdr>
        <w:top w:val="none" w:sz="0" w:space="0" w:color="auto"/>
        <w:left w:val="none" w:sz="0" w:space="0" w:color="auto"/>
        <w:bottom w:val="none" w:sz="0" w:space="0" w:color="auto"/>
        <w:right w:val="none" w:sz="0" w:space="0" w:color="auto"/>
      </w:divBdr>
    </w:div>
    <w:div w:id="998920711">
      <w:bodyDiv w:val="1"/>
      <w:marLeft w:val="0"/>
      <w:marRight w:val="0"/>
      <w:marTop w:val="0"/>
      <w:marBottom w:val="0"/>
      <w:divBdr>
        <w:top w:val="none" w:sz="0" w:space="0" w:color="auto"/>
        <w:left w:val="none" w:sz="0" w:space="0" w:color="auto"/>
        <w:bottom w:val="none" w:sz="0" w:space="0" w:color="auto"/>
        <w:right w:val="none" w:sz="0" w:space="0" w:color="auto"/>
      </w:divBdr>
    </w:div>
    <w:div w:id="1000548862">
      <w:bodyDiv w:val="1"/>
      <w:marLeft w:val="0"/>
      <w:marRight w:val="0"/>
      <w:marTop w:val="0"/>
      <w:marBottom w:val="0"/>
      <w:divBdr>
        <w:top w:val="none" w:sz="0" w:space="0" w:color="auto"/>
        <w:left w:val="none" w:sz="0" w:space="0" w:color="auto"/>
        <w:bottom w:val="none" w:sz="0" w:space="0" w:color="auto"/>
        <w:right w:val="none" w:sz="0" w:space="0" w:color="auto"/>
      </w:divBdr>
    </w:div>
    <w:div w:id="1004170387">
      <w:bodyDiv w:val="1"/>
      <w:marLeft w:val="0"/>
      <w:marRight w:val="0"/>
      <w:marTop w:val="0"/>
      <w:marBottom w:val="0"/>
      <w:divBdr>
        <w:top w:val="none" w:sz="0" w:space="0" w:color="auto"/>
        <w:left w:val="none" w:sz="0" w:space="0" w:color="auto"/>
        <w:bottom w:val="none" w:sz="0" w:space="0" w:color="auto"/>
        <w:right w:val="none" w:sz="0" w:space="0" w:color="auto"/>
      </w:divBdr>
    </w:div>
    <w:div w:id="1005740379">
      <w:bodyDiv w:val="1"/>
      <w:marLeft w:val="0"/>
      <w:marRight w:val="0"/>
      <w:marTop w:val="0"/>
      <w:marBottom w:val="0"/>
      <w:divBdr>
        <w:top w:val="none" w:sz="0" w:space="0" w:color="auto"/>
        <w:left w:val="none" w:sz="0" w:space="0" w:color="auto"/>
        <w:bottom w:val="none" w:sz="0" w:space="0" w:color="auto"/>
        <w:right w:val="none" w:sz="0" w:space="0" w:color="auto"/>
      </w:divBdr>
    </w:div>
    <w:div w:id="1017466648">
      <w:bodyDiv w:val="1"/>
      <w:marLeft w:val="0"/>
      <w:marRight w:val="0"/>
      <w:marTop w:val="0"/>
      <w:marBottom w:val="0"/>
      <w:divBdr>
        <w:top w:val="none" w:sz="0" w:space="0" w:color="auto"/>
        <w:left w:val="none" w:sz="0" w:space="0" w:color="auto"/>
        <w:bottom w:val="none" w:sz="0" w:space="0" w:color="auto"/>
        <w:right w:val="none" w:sz="0" w:space="0" w:color="auto"/>
      </w:divBdr>
    </w:div>
    <w:div w:id="1018308151">
      <w:bodyDiv w:val="1"/>
      <w:marLeft w:val="0"/>
      <w:marRight w:val="0"/>
      <w:marTop w:val="0"/>
      <w:marBottom w:val="0"/>
      <w:divBdr>
        <w:top w:val="none" w:sz="0" w:space="0" w:color="auto"/>
        <w:left w:val="none" w:sz="0" w:space="0" w:color="auto"/>
        <w:bottom w:val="none" w:sz="0" w:space="0" w:color="auto"/>
        <w:right w:val="none" w:sz="0" w:space="0" w:color="auto"/>
      </w:divBdr>
    </w:div>
    <w:div w:id="1018460435">
      <w:bodyDiv w:val="1"/>
      <w:marLeft w:val="0"/>
      <w:marRight w:val="0"/>
      <w:marTop w:val="0"/>
      <w:marBottom w:val="0"/>
      <w:divBdr>
        <w:top w:val="none" w:sz="0" w:space="0" w:color="auto"/>
        <w:left w:val="none" w:sz="0" w:space="0" w:color="auto"/>
        <w:bottom w:val="none" w:sz="0" w:space="0" w:color="auto"/>
        <w:right w:val="none" w:sz="0" w:space="0" w:color="auto"/>
      </w:divBdr>
    </w:div>
    <w:div w:id="1018968453">
      <w:bodyDiv w:val="1"/>
      <w:marLeft w:val="0"/>
      <w:marRight w:val="0"/>
      <w:marTop w:val="0"/>
      <w:marBottom w:val="0"/>
      <w:divBdr>
        <w:top w:val="none" w:sz="0" w:space="0" w:color="auto"/>
        <w:left w:val="none" w:sz="0" w:space="0" w:color="auto"/>
        <w:bottom w:val="none" w:sz="0" w:space="0" w:color="auto"/>
        <w:right w:val="none" w:sz="0" w:space="0" w:color="auto"/>
      </w:divBdr>
    </w:div>
    <w:div w:id="1020476143">
      <w:bodyDiv w:val="1"/>
      <w:marLeft w:val="0"/>
      <w:marRight w:val="0"/>
      <w:marTop w:val="0"/>
      <w:marBottom w:val="0"/>
      <w:divBdr>
        <w:top w:val="none" w:sz="0" w:space="0" w:color="auto"/>
        <w:left w:val="none" w:sz="0" w:space="0" w:color="auto"/>
        <w:bottom w:val="none" w:sz="0" w:space="0" w:color="auto"/>
        <w:right w:val="none" w:sz="0" w:space="0" w:color="auto"/>
      </w:divBdr>
    </w:div>
    <w:div w:id="1026905232">
      <w:bodyDiv w:val="1"/>
      <w:marLeft w:val="0"/>
      <w:marRight w:val="0"/>
      <w:marTop w:val="0"/>
      <w:marBottom w:val="0"/>
      <w:divBdr>
        <w:top w:val="none" w:sz="0" w:space="0" w:color="auto"/>
        <w:left w:val="none" w:sz="0" w:space="0" w:color="auto"/>
        <w:bottom w:val="none" w:sz="0" w:space="0" w:color="auto"/>
        <w:right w:val="none" w:sz="0" w:space="0" w:color="auto"/>
      </w:divBdr>
    </w:div>
    <w:div w:id="1028801389">
      <w:bodyDiv w:val="1"/>
      <w:marLeft w:val="0"/>
      <w:marRight w:val="0"/>
      <w:marTop w:val="0"/>
      <w:marBottom w:val="0"/>
      <w:divBdr>
        <w:top w:val="none" w:sz="0" w:space="0" w:color="auto"/>
        <w:left w:val="none" w:sz="0" w:space="0" w:color="auto"/>
        <w:bottom w:val="none" w:sz="0" w:space="0" w:color="auto"/>
        <w:right w:val="none" w:sz="0" w:space="0" w:color="auto"/>
      </w:divBdr>
    </w:div>
    <w:div w:id="1030685961">
      <w:bodyDiv w:val="1"/>
      <w:marLeft w:val="0"/>
      <w:marRight w:val="0"/>
      <w:marTop w:val="0"/>
      <w:marBottom w:val="0"/>
      <w:divBdr>
        <w:top w:val="none" w:sz="0" w:space="0" w:color="auto"/>
        <w:left w:val="none" w:sz="0" w:space="0" w:color="auto"/>
        <w:bottom w:val="none" w:sz="0" w:space="0" w:color="auto"/>
        <w:right w:val="none" w:sz="0" w:space="0" w:color="auto"/>
      </w:divBdr>
    </w:div>
    <w:div w:id="1033380786">
      <w:bodyDiv w:val="1"/>
      <w:marLeft w:val="0"/>
      <w:marRight w:val="0"/>
      <w:marTop w:val="0"/>
      <w:marBottom w:val="0"/>
      <w:divBdr>
        <w:top w:val="none" w:sz="0" w:space="0" w:color="auto"/>
        <w:left w:val="none" w:sz="0" w:space="0" w:color="auto"/>
        <w:bottom w:val="none" w:sz="0" w:space="0" w:color="auto"/>
        <w:right w:val="none" w:sz="0" w:space="0" w:color="auto"/>
      </w:divBdr>
    </w:div>
    <w:div w:id="1038237158">
      <w:bodyDiv w:val="1"/>
      <w:marLeft w:val="0"/>
      <w:marRight w:val="0"/>
      <w:marTop w:val="0"/>
      <w:marBottom w:val="0"/>
      <w:divBdr>
        <w:top w:val="none" w:sz="0" w:space="0" w:color="auto"/>
        <w:left w:val="none" w:sz="0" w:space="0" w:color="auto"/>
        <w:bottom w:val="none" w:sz="0" w:space="0" w:color="auto"/>
        <w:right w:val="none" w:sz="0" w:space="0" w:color="auto"/>
      </w:divBdr>
    </w:div>
    <w:div w:id="1040476204">
      <w:bodyDiv w:val="1"/>
      <w:marLeft w:val="0"/>
      <w:marRight w:val="0"/>
      <w:marTop w:val="0"/>
      <w:marBottom w:val="0"/>
      <w:divBdr>
        <w:top w:val="none" w:sz="0" w:space="0" w:color="auto"/>
        <w:left w:val="none" w:sz="0" w:space="0" w:color="auto"/>
        <w:bottom w:val="none" w:sz="0" w:space="0" w:color="auto"/>
        <w:right w:val="none" w:sz="0" w:space="0" w:color="auto"/>
      </w:divBdr>
    </w:div>
    <w:div w:id="1043990956">
      <w:bodyDiv w:val="1"/>
      <w:marLeft w:val="0"/>
      <w:marRight w:val="0"/>
      <w:marTop w:val="0"/>
      <w:marBottom w:val="0"/>
      <w:divBdr>
        <w:top w:val="none" w:sz="0" w:space="0" w:color="auto"/>
        <w:left w:val="none" w:sz="0" w:space="0" w:color="auto"/>
        <w:bottom w:val="none" w:sz="0" w:space="0" w:color="auto"/>
        <w:right w:val="none" w:sz="0" w:space="0" w:color="auto"/>
      </w:divBdr>
    </w:div>
    <w:div w:id="1045711959">
      <w:bodyDiv w:val="1"/>
      <w:marLeft w:val="0"/>
      <w:marRight w:val="0"/>
      <w:marTop w:val="0"/>
      <w:marBottom w:val="0"/>
      <w:divBdr>
        <w:top w:val="none" w:sz="0" w:space="0" w:color="auto"/>
        <w:left w:val="none" w:sz="0" w:space="0" w:color="auto"/>
        <w:bottom w:val="none" w:sz="0" w:space="0" w:color="auto"/>
        <w:right w:val="none" w:sz="0" w:space="0" w:color="auto"/>
      </w:divBdr>
    </w:div>
    <w:div w:id="1054277633">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8895729">
      <w:bodyDiv w:val="1"/>
      <w:marLeft w:val="0"/>
      <w:marRight w:val="0"/>
      <w:marTop w:val="0"/>
      <w:marBottom w:val="0"/>
      <w:divBdr>
        <w:top w:val="none" w:sz="0" w:space="0" w:color="auto"/>
        <w:left w:val="none" w:sz="0" w:space="0" w:color="auto"/>
        <w:bottom w:val="none" w:sz="0" w:space="0" w:color="auto"/>
        <w:right w:val="none" w:sz="0" w:space="0" w:color="auto"/>
      </w:divBdr>
    </w:div>
    <w:div w:id="1064990657">
      <w:bodyDiv w:val="1"/>
      <w:marLeft w:val="0"/>
      <w:marRight w:val="0"/>
      <w:marTop w:val="0"/>
      <w:marBottom w:val="0"/>
      <w:divBdr>
        <w:top w:val="none" w:sz="0" w:space="0" w:color="auto"/>
        <w:left w:val="none" w:sz="0" w:space="0" w:color="auto"/>
        <w:bottom w:val="none" w:sz="0" w:space="0" w:color="auto"/>
        <w:right w:val="none" w:sz="0" w:space="0" w:color="auto"/>
      </w:divBdr>
    </w:div>
    <w:div w:id="1067416594">
      <w:bodyDiv w:val="1"/>
      <w:marLeft w:val="0"/>
      <w:marRight w:val="0"/>
      <w:marTop w:val="0"/>
      <w:marBottom w:val="0"/>
      <w:divBdr>
        <w:top w:val="none" w:sz="0" w:space="0" w:color="auto"/>
        <w:left w:val="none" w:sz="0" w:space="0" w:color="auto"/>
        <w:bottom w:val="none" w:sz="0" w:space="0" w:color="auto"/>
        <w:right w:val="none" w:sz="0" w:space="0" w:color="auto"/>
      </w:divBdr>
    </w:div>
    <w:div w:id="1080716407">
      <w:bodyDiv w:val="1"/>
      <w:marLeft w:val="0"/>
      <w:marRight w:val="0"/>
      <w:marTop w:val="0"/>
      <w:marBottom w:val="0"/>
      <w:divBdr>
        <w:top w:val="none" w:sz="0" w:space="0" w:color="auto"/>
        <w:left w:val="none" w:sz="0" w:space="0" w:color="auto"/>
        <w:bottom w:val="none" w:sz="0" w:space="0" w:color="auto"/>
        <w:right w:val="none" w:sz="0" w:space="0" w:color="auto"/>
      </w:divBdr>
    </w:div>
    <w:div w:id="1084109673">
      <w:bodyDiv w:val="1"/>
      <w:marLeft w:val="0"/>
      <w:marRight w:val="0"/>
      <w:marTop w:val="0"/>
      <w:marBottom w:val="0"/>
      <w:divBdr>
        <w:top w:val="none" w:sz="0" w:space="0" w:color="auto"/>
        <w:left w:val="none" w:sz="0" w:space="0" w:color="auto"/>
        <w:bottom w:val="none" w:sz="0" w:space="0" w:color="auto"/>
        <w:right w:val="none" w:sz="0" w:space="0" w:color="auto"/>
      </w:divBdr>
    </w:div>
    <w:div w:id="1084303684">
      <w:bodyDiv w:val="1"/>
      <w:marLeft w:val="0"/>
      <w:marRight w:val="0"/>
      <w:marTop w:val="0"/>
      <w:marBottom w:val="0"/>
      <w:divBdr>
        <w:top w:val="none" w:sz="0" w:space="0" w:color="auto"/>
        <w:left w:val="none" w:sz="0" w:space="0" w:color="auto"/>
        <w:bottom w:val="none" w:sz="0" w:space="0" w:color="auto"/>
        <w:right w:val="none" w:sz="0" w:space="0" w:color="auto"/>
      </w:divBdr>
    </w:div>
    <w:div w:id="1090740899">
      <w:bodyDiv w:val="1"/>
      <w:marLeft w:val="0"/>
      <w:marRight w:val="0"/>
      <w:marTop w:val="0"/>
      <w:marBottom w:val="0"/>
      <w:divBdr>
        <w:top w:val="none" w:sz="0" w:space="0" w:color="auto"/>
        <w:left w:val="none" w:sz="0" w:space="0" w:color="auto"/>
        <w:bottom w:val="none" w:sz="0" w:space="0" w:color="auto"/>
        <w:right w:val="none" w:sz="0" w:space="0" w:color="auto"/>
      </w:divBdr>
    </w:div>
    <w:div w:id="1094785400">
      <w:bodyDiv w:val="1"/>
      <w:marLeft w:val="0"/>
      <w:marRight w:val="0"/>
      <w:marTop w:val="0"/>
      <w:marBottom w:val="0"/>
      <w:divBdr>
        <w:top w:val="none" w:sz="0" w:space="0" w:color="auto"/>
        <w:left w:val="none" w:sz="0" w:space="0" w:color="auto"/>
        <w:bottom w:val="none" w:sz="0" w:space="0" w:color="auto"/>
        <w:right w:val="none" w:sz="0" w:space="0" w:color="auto"/>
      </w:divBdr>
    </w:div>
    <w:div w:id="1095244051">
      <w:bodyDiv w:val="1"/>
      <w:marLeft w:val="0"/>
      <w:marRight w:val="0"/>
      <w:marTop w:val="0"/>
      <w:marBottom w:val="0"/>
      <w:divBdr>
        <w:top w:val="none" w:sz="0" w:space="0" w:color="auto"/>
        <w:left w:val="none" w:sz="0" w:space="0" w:color="auto"/>
        <w:bottom w:val="none" w:sz="0" w:space="0" w:color="auto"/>
        <w:right w:val="none" w:sz="0" w:space="0" w:color="auto"/>
      </w:divBdr>
    </w:div>
    <w:div w:id="1098284985">
      <w:bodyDiv w:val="1"/>
      <w:marLeft w:val="0"/>
      <w:marRight w:val="0"/>
      <w:marTop w:val="0"/>
      <w:marBottom w:val="0"/>
      <w:divBdr>
        <w:top w:val="none" w:sz="0" w:space="0" w:color="auto"/>
        <w:left w:val="none" w:sz="0" w:space="0" w:color="auto"/>
        <w:bottom w:val="none" w:sz="0" w:space="0" w:color="auto"/>
        <w:right w:val="none" w:sz="0" w:space="0" w:color="auto"/>
      </w:divBdr>
    </w:div>
    <w:div w:id="1100031905">
      <w:bodyDiv w:val="1"/>
      <w:marLeft w:val="0"/>
      <w:marRight w:val="0"/>
      <w:marTop w:val="0"/>
      <w:marBottom w:val="0"/>
      <w:divBdr>
        <w:top w:val="none" w:sz="0" w:space="0" w:color="auto"/>
        <w:left w:val="none" w:sz="0" w:space="0" w:color="auto"/>
        <w:bottom w:val="none" w:sz="0" w:space="0" w:color="auto"/>
        <w:right w:val="none" w:sz="0" w:space="0" w:color="auto"/>
      </w:divBdr>
    </w:div>
    <w:div w:id="1102409287">
      <w:bodyDiv w:val="1"/>
      <w:marLeft w:val="0"/>
      <w:marRight w:val="0"/>
      <w:marTop w:val="0"/>
      <w:marBottom w:val="0"/>
      <w:divBdr>
        <w:top w:val="none" w:sz="0" w:space="0" w:color="auto"/>
        <w:left w:val="none" w:sz="0" w:space="0" w:color="auto"/>
        <w:bottom w:val="none" w:sz="0" w:space="0" w:color="auto"/>
        <w:right w:val="none" w:sz="0" w:space="0" w:color="auto"/>
      </w:divBdr>
    </w:div>
    <w:div w:id="1102917023">
      <w:bodyDiv w:val="1"/>
      <w:marLeft w:val="0"/>
      <w:marRight w:val="0"/>
      <w:marTop w:val="0"/>
      <w:marBottom w:val="0"/>
      <w:divBdr>
        <w:top w:val="none" w:sz="0" w:space="0" w:color="auto"/>
        <w:left w:val="none" w:sz="0" w:space="0" w:color="auto"/>
        <w:bottom w:val="none" w:sz="0" w:space="0" w:color="auto"/>
        <w:right w:val="none" w:sz="0" w:space="0" w:color="auto"/>
      </w:divBdr>
    </w:div>
    <w:div w:id="1105806328">
      <w:bodyDiv w:val="1"/>
      <w:marLeft w:val="0"/>
      <w:marRight w:val="0"/>
      <w:marTop w:val="0"/>
      <w:marBottom w:val="0"/>
      <w:divBdr>
        <w:top w:val="none" w:sz="0" w:space="0" w:color="auto"/>
        <w:left w:val="none" w:sz="0" w:space="0" w:color="auto"/>
        <w:bottom w:val="none" w:sz="0" w:space="0" w:color="auto"/>
        <w:right w:val="none" w:sz="0" w:space="0" w:color="auto"/>
      </w:divBdr>
    </w:div>
    <w:div w:id="1113553383">
      <w:bodyDiv w:val="1"/>
      <w:marLeft w:val="0"/>
      <w:marRight w:val="0"/>
      <w:marTop w:val="0"/>
      <w:marBottom w:val="0"/>
      <w:divBdr>
        <w:top w:val="none" w:sz="0" w:space="0" w:color="auto"/>
        <w:left w:val="none" w:sz="0" w:space="0" w:color="auto"/>
        <w:bottom w:val="none" w:sz="0" w:space="0" w:color="auto"/>
        <w:right w:val="none" w:sz="0" w:space="0" w:color="auto"/>
      </w:divBdr>
    </w:div>
    <w:div w:id="1114179330">
      <w:bodyDiv w:val="1"/>
      <w:marLeft w:val="0"/>
      <w:marRight w:val="0"/>
      <w:marTop w:val="0"/>
      <w:marBottom w:val="0"/>
      <w:divBdr>
        <w:top w:val="none" w:sz="0" w:space="0" w:color="auto"/>
        <w:left w:val="none" w:sz="0" w:space="0" w:color="auto"/>
        <w:bottom w:val="none" w:sz="0" w:space="0" w:color="auto"/>
        <w:right w:val="none" w:sz="0" w:space="0" w:color="auto"/>
      </w:divBdr>
    </w:div>
    <w:div w:id="1118378105">
      <w:bodyDiv w:val="1"/>
      <w:marLeft w:val="0"/>
      <w:marRight w:val="0"/>
      <w:marTop w:val="0"/>
      <w:marBottom w:val="0"/>
      <w:divBdr>
        <w:top w:val="none" w:sz="0" w:space="0" w:color="auto"/>
        <w:left w:val="none" w:sz="0" w:space="0" w:color="auto"/>
        <w:bottom w:val="none" w:sz="0" w:space="0" w:color="auto"/>
        <w:right w:val="none" w:sz="0" w:space="0" w:color="auto"/>
      </w:divBdr>
    </w:div>
    <w:div w:id="1123033729">
      <w:bodyDiv w:val="1"/>
      <w:marLeft w:val="0"/>
      <w:marRight w:val="0"/>
      <w:marTop w:val="0"/>
      <w:marBottom w:val="0"/>
      <w:divBdr>
        <w:top w:val="none" w:sz="0" w:space="0" w:color="auto"/>
        <w:left w:val="none" w:sz="0" w:space="0" w:color="auto"/>
        <w:bottom w:val="none" w:sz="0" w:space="0" w:color="auto"/>
        <w:right w:val="none" w:sz="0" w:space="0" w:color="auto"/>
      </w:divBdr>
    </w:div>
    <w:div w:id="1125080090">
      <w:bodyDiv w:val="1"/>
      <w:marLeft w:val="0"/>
      <w:marRight w:val="0"/>
      <w:marTop w:val="0"/>
      <w:marBottom w:val="0"/>
      <w:divBdr>
        <w:top w:val="none" w:sz="0" w:space="0" w:color="auto"/>
        <w:left w:val="none" w:sz="0" w:space="0" w:color="auto"/>
        <w:bottom w:val="none" w:sz="0" w:space="0" w:color="auto"/>
        <w:right w:val="none" w:sz="0" w:space="0" w:color="auto"/>
      </w:divBdr>
    </w:div>
    <w:div w:id="1127357647">
      <w:bodyDiv w:val="1"/>
      <w:marLeft w:val="0"/>
      <w:marRight w:val="0"/>
      <w:marTop w:val="0"/>
      <w:marBottom w:val="0"/>
      <w:divBdr>
        <w:top w:val="none" w:sz="0" w:space="0" w:color="auto"/>
        <w:left w:val="none" w:sz="0" w:space="0" w:color="auto"/>
        <w:bottom w:val="none" w:sz="0" w:space="0" w:color="auto"/>
        <w:right w:val="none" w:sz="0" w:space="0" w:color="auto"/>
      </w:divBdr>
    </w:div>
    <w:div w:id="1132091328">
      <w:bodyDiv w:val="1"/>
      <w:marLeft w:val="0"/>
      <w:marRight w:val="0"/>
      <w:marTop w:val="0"/>
      <w:marBottom w:val="0"/>
      <w:divBdr>
        <w:top w:val="none" w:sz="0" w:space="0" w:color="auto"/>
        <w:left w:val="none" w:sz="0" w:space="0" w:color="auto"/>
        <w:bottom w:val="none" w:sz="0" w:space="0" w:color="auto"/>
        <w:right w:val="none" w:sz="0" w:space="0" w:color="auto"/>
      </w:divBdr>
    </w:div>
    <w:div w:id="1137604730">
      <w:bodyDiv w:val="1"/>
      <w:marLeft w:val="0"/>
      <w:marRight w:val="0"/>
      <w:marTop w:val="0"/>
      <w:marBottom w:val="0"/>
      <w:divBdr>
        <w:top w:val="none" w:sz="0" w:space="0" w:color="auto"/>
        <w:left w:val="none" w:sz="0" w:space="0" w:color="auto"/>
        <w:bottom w:val="none" w:sz="0" w:space="0" w:color="auto"/>
        <w:right w:val="none" w:sz="0" w:space="0" w:color="auto"/>
      </w:divBdr>
    </w:div>
    <w:div w:id="1147165060">
      <w:bodyDiv w:val="1"/>
      <w:marLeft w:val="0"/>
      <w:marRight w:val="0"/>
      <w:marTop w:val="0"/>
      <w:marBottom w:val="0"/>
      <w:divBdr>
        <w:top w:val="none" w:sz="0" w:space="0" w:color="auto"/>
        <w:left w:val="none" w:sz="0" w:space="0" w:color="auto"/>
        <w:bottom w:val="none" w:sz="0" w:space="0" w:color="auto"/>
        <w:right w:val="none" w:sz="0" w:space="0" w:color="auto"/>
      </w:divBdr>
    </w:div>
    <w:div w:id="1151676343">
      <w:bodyDiv w:val="1"/>
      <w:marLeft w:val="0"/>
      <w:marRight w:val="0"/>
      <w:marTop w:val="0"/>
      <w:marBottom w:val="0"/>
      <w:divBdr>
        <w:top w:val="none" w:sz="0" w:space="0" w:color="auto"/>
        <w:left w:val="none" w:sz="0" w:space="0" w:color="auto"/>
        <w:bottom w:val="none" w:sz="0" w:space="0" w:color="auto"/>
        <w:right w:val="none" w:sz="0" w:space="0" w:color="auto"/>
      </w:divBdr>
    </w:div>
    <w:div w:id="1151943991">
      <w:bodyDiv w:val="1"/>
      <w:marLeft w:val="0"/>
      <w:marRight w:val="0"/>
      <w:marTop w:val="0"/>
      <w:marBottom w:val="0"/>
      <w:divBdr>
        <w:top w:val="none" w:sz="0" w:space="0" w:color="auto"/>
        <w:left w:val="none" w:sz="0" w:space="0" w:color="auto"/>
        <w:bottom w:val="none" w:sz="0" w:space="0" w:color="auto"/>
        <w:right w:val="none" w:sz="0" w:space="0" w:color="auto"/>
      </w:divBdr>
    </w:div>
    <w:div w:id="1152916365">
      <w:bodyDiv w:val="1"/>
      <w:marLeft w:val="0"/>
      <w:marRight w:val="0"/>
      <w:marTop w:val="0"/>
      <w:marBottom w:val="0"/>
      <w:divBdr>
        <w:top w:val="none" w:sz="0" w:space="0" w:color="auto"/>
        <w:left w:val="none" w:sz="0" w:space="0" w:color="auto"/>
        <w:bottom w:val="none" w:sz="0" w:space="0" w:color="auto"/>
        <w:right w:val="none" w:sz="0" w:space="0" w:color="auto"/>
      </w:divBdr>
    </w:div>
    <w:div w:id="1154643379">
      <w:bodyDiv w:val="1"/>
      <w:marLeft w:val="0"/>
      <w:marRight w:val="0"/>
      <w:marTop w:val="0"/>
      <w:marBottom w:val="0"/>
      <w:divBdr>
        <w:top w:val="none" w:sz="0" w:space="0" w:color="auto"/>
        <w:left w:val="none" w:sz="0" w:space="0" w:color="auto"/>
        <w:bottom w:val="none" w:sz="0" w:space="0" w:color="auto"/>
        <w:right w:val="none" w:sz="0" w:space="0" w:color="auto"/>
      </w:divBdr>
    </w:div>
    <w:div w:id="1156457978">
      <w:bodyDiv w:val="1"/>
      <w:marLeft w:val="0"/>
      <w:marRight w:val="0"/>
      <w:marTop w:val="0"/>
      <w:marBottom w:val="0"/>
      <w:divBdr>
        <w:top w:val="none" w:sz="0" w:space="0" w:color="auto"/>
        <w:left w:val="none" w:sz="0" w:space="0" w:color="auto"/>
        <w:bottom w:val="none" w:sz="0" w:space="0" w:color="auto"/>
        <w:right w:val="none" w:sz="0" w:space="0" w:color="auto"/>
      </w:divBdr>
    </w:div>
    <w:div w:id="1157384820">
      <w:bodyDiv w:val="1"/>
      <w:marLeft w:val="0"/>
      <w:marRight w:val="0"/>
      <w:marTop w:val="0"/>
      <w:marBottom w:val="0"/>
      <w:divBdr>
        <w:top w:val="none" w:sz="0" w:space="0" w:color="auto"/>
        <w:left w:val="none" w:sz="0" w:space="0" w:color="auto"/>
        <w:bottom w:val="none" w:sz="0" w:space="0" w:color="auto"/>
        <w:right w:val="none" w:sz="0" w:space="0" w:color="auto"/>
      </w:divBdr>
    </w:div>
    <w:div w:id="1161847160">
      <w:bodyDiv w:val="1"/>
      <w:marLeft w:val="0"/>
      <w:marRight w:val="0"/>
      <w:marTop w:val="0"/>
      <w:marBottom w:val="0"/>
      <w:divBdr>
        <w:top w:val="none" w:sz="0" w:space="0" w:color="auto"/>
        <w:left w:val="none" w:sz="0" w:space="0" w:color="auto"/>
        <w:bottom w:val="none" w:sz="0" w:space="0" w:color="auto"/>
        <w:right w:val="none" w:sz="0" w:space="0" w:color="auto"/>
      </w:divBdr>
    </w:div>
    <w:div w:id="1166095718">
      <w:bodyDiv w:val="1"/>
      <w:marLeft w:val="0"/>
      <w:marRight w:val="0"/>
      <w:marTop w:val="0"/>
      <w:marBottom w:val="0"/>
      <w:divBdr>
        <w:top w:val="none" w:sz="0" w:space="0" w:color="auto"/>
        <w:left w:val="none" w:sz="0" w:space="0" w:color="auto"/>
        <w:bottom w:val="none" w:sz="0" w:space="0" w:color="auto"/>
        <w:right w:val="none" w:sz="0" w:space="0" w:color="auto"/>
      </w:divBdr>
    </w:div>
    <w:div w:id="1168862475">
      <w:bodyDiv w:val="1"/>
      <w:marLeft w:val="0"/>
      <w:marRight w:val="0"/>
      <w:marTop w:val="0"/>
      <w:marBottom w:val="0"/>
      <w:divBdr>
        <w:top w:val="none" w:sz="0" w:space="0" w:color="auto"/>
        <w:left w:val="none" w:sz="0" w:space="0" w:color="auto"/>
        <w:bottom w:val="none" w:sz="0" w:space="0" w:color="auto"/>
        <w:right w:val="none" w:sz="0" w:space="0" w:color="auto"/>
      </w:divBdr>
    </w:div>
    <w:div w:id="1169322823">
      <w:bodyDiv w:val="1"/>
      <w:marLeft w:val="0"/>
      <w:marRight w:val="0"/>
      <w:marTop w:val="0"/>
      <w:marBottom w:val="0"/>
      <w:divBdr>
        <w:top w:val="none" w:sz="0" w:space="0" w:color="auto"/>
        <w:left w:val="none" w:sz="0" w:space="0" w:color="auto"/>
        <w:bottom w:val="none" w:sz="0" w:space="0" w:color="auto"/>
        <w:right w:val="none" w:sz="0" w:space="0" w:color="auto"/>
      </w:divBdr>
    </w:div>
    <w:div w:id="1174026357">
      <w:bodyDiv w:val="1"/>
      <w:marLeft w:val="0"/>
      <w:marRight w:val="0"/>
      <w:marTop w:val="0"/>
      <w:marBottom w:val="0"/>
      <w:divBdr>
        <w:top w:val="none" w:sz="0" w:space="0" w:color="auto"/>
        <w:left w:val="none" w:sz="0" w:space="0" w:color="auto"/>
        <w:bottom w:val="none" w:sz="0" w:space="0" w:color="auto"/>
        <w:right w:val="none" w:sz="0" w:space="0" w:color="auto"/>
      </w:divBdr>
    </w:div>
    <w:div w:id="1200165292">
      <w:bodyDiv w:val="1"/>
      <w:marLeft w:val="0"/>
      <w:marRight w:val="0"/>
      <w:marTop w:val="0"/>
      <w:marBottom w:val="0"/>
      <w:divBdr>
        <w:top w:val="none" w:sz="0" w:space="0" w:color="auto"/>
        <w:left w:val="none" w:sz="0" w:space="0" w:color="auto"/>
        <w:bottom w:val="none" w:sz="0" w:space="0" w:color="auto"/>
        <w:right w:val="none" w:sz="0" w:space="0" w:color="auto"/>
      </w:divBdr>
    </w:div>
    <w:div w:id="1203978093">
      <w:bodyDiv w:val="1"/>
      <w:marLeft w:val="0"/>
      <w:marRight w:val="0"/>
      <w:marTop w:val="0"/>
      <w:marBottom w:val="0"/>
      <w:divBdr>
        <w:top w:val="none" w:sz="0" w:space="0" w:color="auto"/>
        <w:left w:val="none" w:sz="0" w:space="0" w:color="auto"/>
        <w:bottom w:val="none" w:sz="0" w:space="0" w:color="auto"/>
        <w:right w:val="none" w:sz="0" w:space="0" w:color="auto"/>
      </w:divBdr>
      <w:divsChild>
        <w:div w:id="468860787">
          <w:marLeft w:val="0"/>
          <w:marRight w:val="0"/>
          <w:marTop w:val="0"/>
          <w:marBottom w:val="0"/>
          <w:divBdr>
            <w:top w:val="none" w:sz="0" w:space="0" w:color="auto"/>
            <w:left w:val="none" w:sz="0" w:space="0" w:color="auto"/>
            <w:bottom w:val="none" w:sz="0" w:space="0" w:color="auto"/>
            <w:right w:val="none" w:sz="0" w:space="0" w:color="auto"/>
          </w:divBdr>
          <w:divsChild>
            <w:div w:id="1922517815">
              <w:marLeft w:val="0"/>
              <w:marRight w:val="0"/>
              <w:marTop w:val="0"/>
              <w:marBottom w:val="0"/>
              <w:divBdr>
                <w:top w:val="none" w:sz="0" w:space="0" w:color="auto"/>
                <w:left w:val="none" w:sz="0" w:space="0" w:color="auto"/>
                <w:bottom w:val="none" w:sz="0" w:space="0" w:color="auto"/>
                <w:right w:val="none" w:sz="0" w:space="0" w:color="auto"/>
              </w:divBdr>
              <w:divsChild>
                <w:div w:id="2125298376">
                  <w:marLeft w:val="0"/>
                  <w:marRight w:val="0"/>
                  <w:marTop w:val="0"/>
                  <w:marBottom w:val="0"/>
                  <w:divBdr>
                    <w:top w:val="none" w:sz="0" w:space="0" w:color="auto"/>
                    <w:left w:val="none" w:sz="0" w:space="0" w:color="auto"/>
                    <w:bottom w:val="none" w:sz="0" w:space="0" w:color="auto"/>
                    <w:right w:val="none" w:sz="0" w:space="0" w:color="auto"/>
                  </w:divBdr>
                  <w:divsChild>
                    <w:div w:id="19063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07547">
          <w:marLeft w:val="0"/>
          <w:marRight w:val="0"/>
          <w:marTop w:val="0"/>
          <w:marBottom w:val="0"/>
          <w:divBdr>
            <w:top w:val="none" w:sz="0" w:space="0" w:color="auto"/>
            <w:left w:val="none" w:sz="0" w:space="0" w:color="auto"/>
            <w:bottom w:val="none" w:sz="0" w:space="0" w:color="auto"/>
            <w:right w:val="none" w:sz="0" w:space="0" w:color="auto"/>
          </w:divBdr>
          <w:divsChild>
            <w:div w:id="1026520077">
              <w:marLeft w:val="0"/>
              <w:marRight w:val="0"/>
              <w:marTop w:val="0"/>
              <w:marBottom w:val="0"/>
              <w:divBdr>
                <w:top w:val="none" w:sz="0" w:space="0" w:color="auto"/>
                <w:left w:val="none" w:sz="0" w:space="0" w:color="auto"/>
                <w:bottom w:val="none" w:sz="0" w:space="0" w:color="auto"/>
                <w:right w:val="none" w:sz="0" w:space="0" w:color="auto"/>
              </w:divBdr>
              <w:divsChild>
                <w:div w:id="926110460">
                  <w:marLeft w:val="0"/>
                  <w:marRight w:val="0"/>
                  <w:marTop w:val="0"/>
                  <w:marBottom w:val="0"/>
                  <w:divBdr>
                    <w:top w:val="none" w:sz="0" w:space="0" w:color="auto"/>
                    <w:left w:val="none" w:sz="0" w:space="0" w:color="auto"/>
                    <w:bottom w:val="none" w:sz="0" w:space="0" w:color="auto"/>
                    <w:right w:val="none" w:sz="0" w:space="0" w:color="auto"/>
                  </w:divBdr>
                  <w:divsChild>
                    <w:div w:id="1616904327">
                      <w:marLeft w:val="0"/>
                      <w:marRight w:val="0"/>
                      <w:marTop w:val="0"/>
                      <w:marBottom w:val="0"/>
                      <w:divBdr>
                        <w:top w:val="none" w:sz="0" w:space="0" w:color="auto"/>
                        <w:left w:val="none" w:sz="0" w:space="0" w:color="auto"/>
                        <w:bottom w:val="none" w:sz="0" w:space="0" w:color="auto"/>
                        <w:right w:val="none" w:sz="0" w:space="0" w:color="auto"/>
                      </w:divBdr>
                      <w:divsChild>
                        <w:div w:id="8922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440144">
      <w:bodyDiv w:val="1"/>
      <w:marLeft w:val="0"/>
      <w:marRight w:val="0"/>
      <w:marTop w:val="0"/>
      <w:marBottom w:val="0"/>
      <w:divBdr>
        <w:top w:val="none" w:sz="0" w:space="0" w:color="auto"/>
        <w:left w:val="none" w:sz="0" w:space="0" w:color="auto"/>
        <w:bottom w:val="none" w:sz="0" w:space="0" w:color="auto"/>
        <w:right w:val="none" w:sz="0" w:space="0" w:color="auto"/>
      </w:divBdr>
    </w:div>
    <w:div w:id="1224372270">
      <w:bodyDiv w:val="1"/>
      <w:marLeft w:val="0"/>
      <w:marRight w:val="0"/>
      <w:marTop w:val="0"/>
      <w:marBottom w:val="0"/>
      <w:divBdr>
        <w:top w:val="none" w:sz="0" w:space="0" w:color="auto"/>
        <w:left w:val="none" w:sz="0" w:space="0" w:color="auto"/>
        <w:bottom w:val="none" w:sz="0" w:space="0" w:color="auto"/>
        <w:right w:val="none" w:sz="0" w:space="0" w:color="auto"/>
      </w:divBdr>
    </w:div>
    <w:div w:id="1224676360">
      <w:bodyDiv w:val="1"/>
      <w:marLeft w:val="0"/>
      <w:marRight w:val="0"/>
      <w:marTop w:val="0"/>
      <w:marBottom w:val="0"/>
      <w:divBdr>
        <w:top w:val="none" w:sz="0" w:space="0" w:color="auto"/>
        <w:left w:val="none" w:sz="0" w:space="0" w:color="auto"/>
        <w:bottom w:val="none" w:sz="0" w:space="0" w:color="auto"/>
        <w:right w:val="none" w:sz="0" w:space="0" w:color="auto"/>
      </w:divBdr>
    </w:div>
    <w:div w:id="1225751722">
      <w:bodyDiv w:val="1"/>
      <w:marLeft w:val="0"/>
      <w:marRight w:val="0"/>
      <w:marTop w:val="0"/>
      <w:marBottom w:val="0"/>
      <w:divBdr>
        <w:top w:val="none" w:sz="0" w:space="0" w:color="auto"/>
        <w:left w:val="none" w:sz="0" w:space="0" w:color="auto"/>
        <w:bottom w:val="none" w:sz="0" w:space="0" w:color="auto"/>
        <w:right w:val="none" w:sz="0" w:space="0" w:color="auto"/>
      </w:divBdr>
    </w:div>
    <w:div w:id="1226145558">
      <w:bodyDiv w:val="1"/>
      <w:marLeft w:val="0"/>
      <w:marRight w:val="0"/>
      <w:marTop w:val="0"/>
      <w:marBottom w:val="0"/>
      <w:divBdr>
        <w:top w:val="none" w:sz="0" w:space="0" w:color="auto"/>
        <w:left w:val="none" w:sz="0" w:space="0" w:color="auto"/>
        <w:bottom w:val="none" w:sz="0" w:space="0" w:color="auto"/>
        <w:right w:val="none" w:sz="0" w:space="0" w:color="auto"/>
      </w:divBdr>
    </w:div>
    <w:div w:id="1229417711">
      <w:bodyDiv w:val="1"/>
      <w:marLeft w:val="0"/>
      <w:marRight w:val="0"/>
      <w:marTop w:val="0"/>
      <w:marBottom w:val="0"/>
      <w:divBdr>
        <w:top w:val="none" w:sz="0" w:space="0" w:color="auto"/>
        <w:left w:val="none" w:sz="0" w:space="0" w:color="auto"/>
        <w:bottom w:val="none" w:sz="0" w:space="0" w:color="auto"/>
        <w:right w:val="none" w:sz="0" w:space="0" w:color="auto"/>
      </w:divBdr>
    </w:div>
    <w:div w:id="1232496710">
      <w:bodyDiv w:val="1"/>
      <w:marLeft w:val="0"/>
      <w:marRight w:val="0"/>
      <w:marTop w:val="0"/>
      <w:marBottom w:val="0"/>
      <w:divBdr>
        <w:top w:val="none" w:sz="0" w:space="0" w:color="auto"/>
        <w:left w:val="none" w:sz="0" w:space="0" w:color="auto"/>
        <w:bottom w:val="none" w:sz="0" w:space="0" w:color="auto"/>
        <w:right w:val="none" w:sz="0" w:space="0" w:color="auto"/>
      </w:divBdr>
    </w:div>
    <w:div w:id="1234970511">
      <w:bodyDiv w:val="1"/>
      <w:marLeft w:val="0"/>
      <w:marRight w:val="0"/>
      <w:marTop w:val="0"/>
      <w:marBottom w:val="0"/>
      <w:divBdr>
        <w:top w:val="none" w:sz="0" w:space="0" w:color="auto"/>
        <w:left w:val="none" w:sz="0" w:space="0" w:color="auto"/>
        <w:bottom w:val="none" w:sz="0" w:space="0" w:color="auto"/>
        <w:right w:val="none" w:sz="0" w:space="0" w:color="auto"/>
      </w:divBdr>
    </w:div>
    <w:div w:id="1237007540">
      <w:bodyDiv w:val="1"/>
      <w:marLeft w:val="0"/>
      <w:marRight w:val="0"/>
      <w:marTop w:val="0"/>
      <w:marBottom w:val="0"/>
      <w:divBdr>
        <w:top w:val="none" w:sz="0" w:space="0" w:color="auto"/>
        <w:left w:val="none" w:sz="0" w:space="0" w:color="auto"/>
        <w:bottom w:val="none" w:sz="0" w:space="0" w:color="auto"/>
        <w:right w:val="none" w:sz="0" w:space="0" w:color="auto"/>
      </w:divBdr>
    </w:div>
    <w:div w:id="1238243807">
      <w:bodyDiv w:val="1"/>
      <w:marLeft w:val="0"/>
      <w:marRight w:val="0"/>
      <w:marTop w:val="0"/>
      <w:marBottom w:val="0"/>
      <w:divBdr>
        <w:top w:val="none" w:sz="0" w:space="0" w:color="auto"/>
        <w:left w:val="none" w:sz="0" w:space="0" w:color="auto"/>
        <w:bottom w:val="none" w:sz="0" w:space="0" w:color="auto"/>
        <w:right w:val="none" w:sz="0" w:space="0" w:color="auto"/>
      </w:divBdr>
    </w:div>
    <w:div w:id="1238394759">
      <w:bodyDiv w:val="1"/>
      <w:marLeft w:val="0"/>
      <w:marRight w:val="0"/>
      <w:marTop w:val="0"/>
      <w:marBottom w:val="0"/>
      <w:divBdr>
        <w:top w:val="none" w:sz="0" w:space="0" w:color="auto"/>
        <w:left w:val="none" w:sz="0" w:space="0" w:color="auto"/>
        <w:bottom w:val="none" w:sz="0" w:space="0" w:color="auto"/>
        <w:right w:val="none" w:sz="0" w:space="0" w:color="auto"/>
      </w:divBdr>
    </w:div>
    <w:div w:id="1245260207">
      <w:bodyDiv w:val="1"/>
      <w:marLeft w:val="0"/>
      <w:marRight w:val="0"/>
      <w:marTop w:val="0"/>
      <w:marBottom w:val="0"/>
      <w:divBdr>
        <w:top w:val="none" w:sz="0" w:space="0" w:color="auto"/>
        <w:left w:val="none" w:sz="0" w:space="0" w:color="auto"/>
        <w:bottom w:val="none" w:sz="0" w:space="0" w:color="auto"/>
        <w:right w:val="none" w:sz="0" w:space="0" w:color="auto"/>
      </w:divBdr>
    </w:div>
    <w:div w:id="1246916164">
      <w:bodyDiv w:val="1"/>
      <w:marLeft w:val="0"/>
      <w:marRight w:val="0"/>
      <w:marTop w:val="0"/>
      <w:marBottom w:val="0"/>
      <w:divBdr>
        <w:top w:val="none" w:sz="0" w:space="0" w:color="auto"/>
        <w:left w:val="none" w:sz="0" w:space="0" w:color="auto"/>
        <w:bottom w:val="none" w:sz="0" w:space="0" w:color="auto"/>
        <w:right w:val="none" w:sz="0" w:space="0" w:color="auto"/>
      </w:divBdr>
    </w:div>
    <w:div w:id="1251739468">
      <w:bodyDiv w:val="1"/>
      <w:marLeft w:val="0"/>
      <w:marRight w:val="0"/>
      <w:marTop w:val="0"/>
      <w:marBottom w:val="0"/>
      <w:divBdr>
        <w:top w:val="none" w:sz="0" w:space="0" w:color="auto"/>
        <w:left w:val="none" w:sz="0" w:space="0" w:color="auto"/>
        <w:bottom w:val="none" w:sz="0" w:space="0" w:color="auto"/>
        <w:right w:val="none" w:sz="0" w:space="0" w:color="auto"/>
      </w:divBdr>
      <w:divsChild>
        <w:div w:id="1888375852">
          <w:marLeft w:val="0"/>
          <w:marRight w:val="0"/>
          <w:marTop w:val="0"/>
          <w:marBottom w:val="0"/>
          <w:divBdr>
            <w:top w:val="none" w:sz="0" w:space="0" w:color="auto"/>
            <w:left w:val="none" w:sz="0" w:space="0" w:color="auto"/>
            <w:bottom w:val="none" w:sz="0" w:space="0" w:color="auto"/>
            <w:right w:val="none" w:sz="0" w:space="0" w:color="auto"/>
          </w:divBdr>
        </w:div>
      </w:divsChild>
    </w:div>
    <w:div w:id="1252471060">
      <w:bodyDiv w:val="1"/>
      <w:marLeft w:val="0"/>
      <w:marRight w:val="0"/>
      <w:marTop w:val="0"/>
      <w:marBottom w:val="0"/>
      <w:divBdr>
        <w:top w:val="none" w:sz="0" w:space="0" w:color="auto"/>
        <w:left w:val="none" w:sz="0" w:space="0" w:color="auto"/>
        <w:bottom w:val="none" w:sz="0" w:space="0" w:color="auto"/>
        <w:right w:val="none" w:sz="0" w:space="0" w:color="auto"/>
      </w:divBdr>
    </w:div>
    <w:div w:id="1261765653">
      <w:bodyDiv w:val="1"/>
      <w:marLeft w:val="0"/>
      <w:marRight w:val="0"/>
      <w:marTop w:val="0"/>
      <w:marBottom w:val="0"/>
      <w:divBdr>
        <w:top w:val="none" w:sz="0" w:space="0" w:color="auto"/>
        <w:left w:val="none" w:sz="0" w:space="0" w:color="auto"/>
        <w:bottom w:val="none" w:sz="0" w:space="0" w:color="auto"/>
        <w:right w:val="none" w:sz="0" w:space="0" w:color="auto"/>
      </w:divBdr>
    </w:div>
    <w:div w:id="1262684986">
      <w:bodyDiv w:val="1"/>
      <w:marLeft w:val="0"/>
      <w:marRight w:val="0"/>
      <w:marTop w:val="0"/>
      <w:marBottom w:val="0"/>
      <w:divBdr>
        <w:top w:val="none" w:sz="0" w:space="0" w:color="auto"/>
        <w:left w:val="none" w:sz="0" w:space="0" w:color="auto"/>
        <w:bottom w:val="none" w:sz="0" w:space="0" w:color="auto"/>
        <w:right w:val="none" w:sz="0" w:space="0" w:color="auto"/>
      </w:divBdr>
    </w:div>
    <w:div w:id="1264341785">
      <w:bodyDiv w:val="1"/>
      <w:marLeft w:val="0"/>
      <w:marRight w:val="0"/>
      <w:marTop w:val="0"/>
      <w:marBottom w:val="0"/>
      <w:divBdr>
        <w:top w:val="none" w:sz="0" w:space="0" w:color="auto"/>
        <w:left w:val="none" w:sz="0" w:space="0" w:color="auto"/>
        <w:bottom w:val="none" w:sz="0" w:space="0" w:color="auto"/>
        <w:right w:val="none" w:sz="0" w:space="0" w:color="auto"/>
      </w:divBdr>
    </w:div>
    <w:div w:id="1265267780">
      <w:bodyDiv w:val="1"/>
      <w:marLeft w:val="0"/>
      <w:marRight w:val="0"/>
      <w:marTop w:val="0"/>
      <w:marBottom w:val="0"/>
      <w:divBdr>
        <w:top w:val="none" w:sz="0" w:space="0" w:color="auto"/>
        <w:left w:val="none" w:sz="0" w:space="0" w:color="auto"/>
        <w:bottom w:val="none" w:sz="0" w:space="0" w:color="auto"/>
        <w:right w:val="none" w:sz="0" w:space="0" w:color="auto"/>
      </w:divBdr>
    </w:div>
    <w:div w:id="1266886274">
      <w:bodyDiv w:val="1"/>
      <w:marLeft w:val="0"/>
      <w:marRight w:val="0"/>
      <w:marTop w:val="0"/>
      <w:marBottom w:val="0"/>
      <w:divBdr>
        <w:top w:val="none" w:sz="0" w:space="0" w:color="auto"/>
        <w:left w:val="none" w:sz="0" w:space="0" w:color="auto"/>
        <w:bottom w:val="none" w:sz="0" w:space="0" w:color="auto"/>
        <w:right w:val="none" w:sz="0" w:space="0" w:color="auto"/>
      </w:divBdr>
    </w:div>
    <w:div w:id="1271595689">
      <w:bodyDiv w:val="1"/>
      <w:marLeft w:val="0"/>
      <w:marRight w:val="0"/>
      <w:marTop w:val="0"/>
      <w:marBottom w:val="0"/>
      <w:divBdr>
        <w:top w:val="none" w:sz="0" w:space="0" w:color="auto"/>
        <w:left w:val="none" w:sz="0" w:space="0" w:color="auto"/>
        <w:bottom w:val="none" w:sz="0" w:space="0" w:color="auto"/>
        <w:right w:val="none" w:sz="0" w:space="0" w:color="auto"/>
      </w:divBdr>
    </w:div>
    <w:div w:id="1271622442">
      <w:bodyDiv w:val="1"/>
      <w:marLeft w:val="0"/>
      <w:marRight w:val="0"/>
      <w:marTop w:val="0"/>
      <w:marBottom w:val="0"/>
      <w:divBdr>
        <w:top w:val="none" w:sz="0" w:space="0" w:color="auto"/>
        <w:left w:val="none" w:sz="0" w:space="0" w:color="auto"/>
        <w:bottom w:val="none" w:sz="0" w:space="0" w:color="auto"/>
        <w:right w:val="none" w:sz="0" w:space="0" w:color="auto"/>
      </w:divBdr>
    </w:div>
    <w:div w:id="1272512956">
      <w:bodyDiv w:val="1"/>
      <w:marLeft w:val="0"/>
      <w:marRight w:val="0"/>
      <w:marTop w:val="0"/>
      <w:marBottom w:val="0"/>
      <w:divBdr>
        <w:top w:val="none" w:sz="0" w:space="0" w:color="auto"/>
        <w:left w:val="none" w:sz="0" w:space="0" w:color="auto"/>
        <w:bottom w:val="none" w:sz="0" w:space="0" w:color="auto"/>
        <w:right w:val="none" w:sz="0" w:space="0" w:color="auto"/>
      </w:divBdr>
    </w:div>
    <w:div w:id="1273442535">
      <w:bodyDiv w:val="1"/>
      <w:marLeft w:val="0"/>
      <w:marRight w:val="0"/>
      <w:marTop w:val="0"/>
      <w:marBottom w:val="0"/>
      <w:divBdr>
        <w:top w:val="none" w:sz="0" w:space="0" w:color="auto"/>
        <w:left w:val="none" w:sz="0" w:space="0" w:color="auto"/>
        <w:bottom w:val="none" w:sz="0" w:space="0" w:color="auto"/>
        <w:right w:val="none" w:sz="0" w:space="0" w:color="auto"/>
      </w:divBdr>
    </w:div>
    <w:div w:id="1294212166">
      <w:bodyDiv w:val="1"/>
      <w:marLeft w:val="0"/>
      <w:marRight w:val="0"/>
      <w:marTop w:val="0"/>
      <w:marBottom w:val="0"/>
      <w:divBdr>
        <w:top w:val="none" w:sz="0" w:space="0" w:color="auto"/>
        <w:left w:val="none" w:sz="0" w:space="0" w:color="auto"/>
        <w:bottom w:val="none" w:sz="0" w:space="0" w:color="auto"/>
        <w:right w:val="none" w:sz="0" w:space="0" w:color="auto"/>
      </w:divBdr>
    </w:div>
    <w:div w:id="1294366793">
      <w:bodyDiv w:val="1"/>
      <w:marLeft w:val="0"/>
      <w:marRight w:val="0"/>
      <w:marTop w:val="0"/>
      <w:marBottom w:val="0"/>
      <w:divBdr>
        <w:top w:val="none" w:sz="0" w:space="0" w:color="auto"/>
        <w:left w:val="none" w:sz="0" w:space="0" w:color="auto"/>
        <w:bottom w:val="none" w:sz="0" w:space="0" w:color="auto"/>
        <w:right w:val="none" w:sz="0" w:space="0" w:color="auto"/>
      </w:divBdr>
    </w:div>
    <w:div w:id="1297490136">
      <w:bodyDiv w:val="1"/>
      <w:marLeft w:val="0"/>
      <w:marRight w:val="0"/>
      <w:marTop w:val="0"/>
      <w:marBottom w:val="0"/>
      <w:divBdr>
        <w:top w:val="none" w:sz="0" w:space="0" w:color="auto"/>
        <w:left w:val="none" w:sz="0" w:space="0" w:color="auto"/>
        <w:bottom w:val="none" w:sz="0" w:space="0" w:color="auto"/>
        <w:right w:val="none" w:sz="0" w:space="0" w:color="auto"/>
      </w:divBdr>
    </w:div>
    <w:div w:id="1297636378">
      <w:bodyDiv w:val="1"/>
      <w:marLeft w:val="0"/>
      <w:marRight w:val="0"/>
      <w:marTop w:val="0"/>
      <w:marBottom w:val="0"/>
      <w:divBdr>
        <w:top w:val="none" w:sz="0" w:space="0" w:color="auto"/>
        <w:left w:val="none" w:sz="0" w:space="0" w:color="auto"/>
        <w:bottom w:val="none" w:sz="0" w:space="0" w:color="auto"/>
        <w:right w:val="none" w:sz="0" w:space="0" w:color="auto"/>
      </w:divBdr>
    </w:div>
    <w:div w:id="1299725529">
      <w:bodyDiv w:val="1"/>
      <w:marLeft w:val="0"/>
      <w:marRight w:val="0"/>
      <w:marTop w:val="0"/>
      <w:marBottom w:val="0"/>
      <w:divBdr>
        <w:top w:val="none" w:sz="0" w:space="0" w:color="auto"/>
        <w:left w:val="none" w:sz="0" w:space="0" w:color="auto"/>
        <w:bottom w:val="none" w:sz="0" w:space="0" w:color="auto"/>
        <w:right w:val="none" w:sz="0" w:space="0" w:color="auto"/>
      </w:divBdr>
    </w:div>
    <w:div w:id="1306812415">
      <w:bodyDiv w:val="1"/>
      <w:marLeft w:val="0"/>
      <w:marRight w:val="0"/>
      <w:marTop w:val="0"/>
      <w:marBottom w:val="0"/>
      <w:divBdr>
        <w:top w:val="none" w:sz="0" w:space="0" w:color="auto"/>
        <w:left w:val="none" w:sz="0" w:space="0" w:color="auto"/>
        <w:bottom w:val="none" w:sz="0" w:space="0" w:color="auto"/>
        <w:right w:val="none" w:sz="0" w:space="0" w:color="auto"/>
      </w:divBdr>
    </w:div>
    <w:div w:id="1317874741">
      <w:bodyDiv w:val="1"/>
      <w:marLeft w:val="0"/>
      <w:marRight w:val="0"/>
      <w:marTop w:val="0"/>
      <w:marBottom w:val="0"/>
      <w:divBdr>
        <w:top w:val="none" w:sz="0" w:space="0" w:color="auto"/>
        <w:left w:val="none" w:sz="0" w:space="0" w:color="auto"/>
        <w:bottom w:val="none" w:sz="0" w:space="0" w:color="auto"/>
        <w:right w:val="none" w:sz="0" w:space="0" w:color="auto"/>
      </w:divBdr>
    </w:div>
    <w:div w:id="1322198501">
      <w:bodyDiv w:val="1"/>
      <w:marLeft w:val="0"/>
      <w:marRight w:val="0"/>
      <w:marTop w:val="0"/>
      <w:marBottom w:val="0"/>
      <w:divBdr>
        <w:top w:val="none" w:sz="0" w:space="0" w:color="auto"/>
        <w:left w:val="none" w:sz="0" w:space="0" w:color="auto"/>
        <w:bottom w:val="none" w:sz="0" w:space="0" w:color="auto"/>
        <w:right w:val="none" w:sz="0" w:space="0" w:color="auto"/>
      </w:divBdr>
    </w:div>
    <w:div w:id="1322202028">
      <w:bodyDiv w:val="1"/>
      <w:marLeft w:val="0"/>
      <w:marRight w:val="0"/>
      <w:marTop w:val="0"/>
      <w:marBottom w:val="0"/>
      <w:divBdr>
        <w:top w:val="none" w:sz="0" w:space="0" w:color="auto"/>
        <w:left w:val="none" w:sz="0" w:space="0" w:color="auto"/>
        <w:bottom w:val="none" w:sz="0" w:space="0" w:color="auto"/>
        <w:right w:val="none" w:sz="0" w:space="0" w:color="auto"/>
      </w:divBdr>
    </w:div>
    <w:div w:id="1324355582">
      <w:bodyDiv w:val="1"/>
      <w:marLeft w:val="0"/>
      <w:marRight w:val="0"/>
      <w:marTop w:val="0"/>
      <w:marBottom w:val="0"/>
      <w:divBdr>
        <w:top w:val="none" w:sz="0" w:space="0" w:color="auto"/>
        <w:left w:val="none" w:sz="0" w:space="0" w:color="auto"/>
        <w:bottom w:val="none" w:sz="0" w:space="0" w:color="auto"/>
        <w:right w:val="none" w:sz="0" w:space="0" w:color="auto"/>
      </w:divBdr>
    </w:div>
    <w:div w:id="1331450265">
      <w:bodyDiv w:val="1"/>
      <w:marLeft w:val="0"/>
      <w:marRight w:val="0"/>
      <w:marTop w:val="0"/>
      <w:marBottom w:val="0"/>
      <w:divBdr>
        <w:top w:val="none" w:sz="0" w:space="0" w:color="auto"/>
        <w:left w:val="none" w:sz="0" w:space="0" w:color="auto"/>
        <w:bottom w:val="none" w:sz="0" w:space="0" w:color="auto"/>
        <w:right w:val="none" w:sz="0" w:space="0" w:color="auto"/>
      </w:divBdr>
    </w:div>
    <w:div w:id="1333606699">
      <w:bodyDiv w:val="1"/>
      <w:marLeft w:val="0"/>
      <w:marRight w:val="0"/>
      <w:marTop w:val="0"/>
      <w:marBottom w:val="0"/>
      <w:divBdr>
        <w:top w:val="none" w:sz="0" w:space="0" w:color="auto"/>
        <w:left w:val="none" w:sz="0" w:space="0" w:color="auto"/>
        <w:bottom w:val="none" w:sz="0" w:space="0" w:color="auto"/>
        <w:right w:val="none" w:sz="0" w:space="0" w:color="auto"/>
      </w:divBdr>
    </w:div>
    <w:div w:id="1333876624">
      <w:bodyDiv w:val="1"/>
      <w:marLeft w:val="0"/>
      <w:marRight w:val="0"/>
      <w:marTop w:val="0"/>
      <w:marBottom w:val="0"/>
      <w:divBdr>
        <w:top w:val="none" w:sz="0" w:space="0" w:color="auto"/>
        <w:left w:val="none" w:sz="0" w:space="0" w:color="auto"/>
        <w:bottom w:val="none" w:sz="0" w:space="0" w:color="auto"/>
        <w:right w:val="none" w:sz="0" w:space="0" w:color="auto"/>
      </w:divBdr>
    </w:div>
    <w:div w:id="1334263932">
      <w:bodyDiv w:val="1"/>
      <w:marLeft w:val="0"/>
      <w:marRight w:val="0"/>
      <w:marTop w:val="0"/>
      <w:marBottom w:val="0"/>
      <w:divBdr>
        <w:top w:val="none" w:sz="0" w:space="0" w:color="auto"/>
        <w:left w:val="none" w:sz="0" w:space="0" w:color="auto"/>
        <w:bottom w:val="none" w:sz="0" w:space="0" w:color="auto"/>
        <w:right w:val="none" w:sz="0" w:space="0" w:color="auto"/>
      </w:divBdr>
    </w:div>
    <w:div w:id="1335524096">
      <w:bodyDiv w:val="1"/>
      <w:marLeft w:val="0"/>
      <w:marRight w:val="0"/>
      <w:marTop w:val="0"/>
      <w:marBottom w:val="0"/>
      <w:divBdr>
        <w:top w:val="none" w:sz="0" w:space="0" w:color="auto"/>
        <w:left w:val="none" w:sz="0" w:space="0" w:color="auto"/>
        <w:bottom w:val="none" w:sz="0" w:space="0" w:color="auto"/>
        <w:right w:val="none" w:sz="0" w:space="0" w:color="auto"/>
      </w:divBdr>
    </w:div>
    <w:div w:id="1341739485">
      <w:bodyDiv w:val="1"/>
      <w:marLeft w:val="0"/>
      <w:marRight w:val="0"/>
      <w:marTop w:val="0"/>
      <w:marBottom w:val="0"/>
      <w:divBdr>
        <w:top w:val="none" w:sz="0" w:space="0" w:color="auto"/>
        <w:left w:val="none" w:sz="0" w:space="0" w:color="auto"/>
        <w:bottom w:val="none" w:sz="0" w:space="0" w:color="auto"/>
        <w:right w:val="none" w:sz="0" w:space="0" w:color="auto"/>
      </w:divBdr>
    </w:div>
    <w:div w:id="1347944889">
      <w:bodyDiv w:val="1"/>
      <w:marLeft w:val="0"/>
      <w:marRight w:val="0"/>
      <w:marTop w:val="0"/>
      <w:marBottom w:val="0"/>
      <w:divBdr>
        <w:top w:val="none" w:sz="0" w:space="0" w:color="auto"/>
        <w:left w:val="none" w:sz="0" w:space="0" w:color="auto"/>
        <w:bottom w:val="none" w:sz="0" w:space="0" w:color="auto"/>
        <w:right w:val="none" w:sz="0" w:space="0" w:color="auto"/>
      </w:divBdr>
      <w:divsChild>
        <w:div w:id="1967655308">
          <w:marLeft w:val="0"/>
          <w:marRight w:val="0"/>
          <w:marTop w:val="0"/>
          <w:marBottom w:val="0"/>
          <w:divBdr>
            <w:top w:val="none" w:sz="0" w:space="0" w:color="auto"/>
            <w:left w:val="none" w:sz="0" w:space="0" w:color="auto"/>
            <w:bottom w:val="none" w:sz="0" w:space="0" w:color="auto"/>
            <w:right w:val="none" w:sz="0" w:space="0" w:color="auto"/>
          </w:divBdr>
          <w:divsChild>
            <w:div w:id="657029759">
              <w:marLeft w:val="0"/>
              <w:marRight w:val="0"/>
              <w:marTop w:val="0"/>
              <w:marBottom w:val="0"/>
              <w:divBdr>
                <w:top w:val="none" w:sz="0" w:space="0" w:color="auto"/>
                <w:left w:val="none" w:sz="0" w:space="0" w:color="auto"/>
                <w:bottom w:val="none" w:sz="0" w:space="0" w:color="auto"/>
                <w:right w:val="none" w:sz="0" w:space="0" w:color="auto"/>
              </w:divBdr>
              <w:divsChild>
                <w:div w:id="653922690">
                  <w:marLeft w:val="0"/>
                  <w:marRight w:val="0"/>
                  <w:marTop w:val="0"/>
                  <w:marBottom w:val="0"/>
                  <w:divBdr>
                    <w:top w:val="none" w:sz="0" w:space="0" w:color="auto"/>
                    <w:left w:val="none" w:sz="0" w:space="0" w:color="auto"/>
                    <w:bottom w:val="none" w:sz="0" w:space="0" w:color="auto"/>
                    <w:right w:val="none" w:sz="0" w:space="0" w:color="auto"/>
                  </w:divBdr>
                  <w:divsChild>
                    <w:div w:id="1564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4383">
      <w:bodyDiv w:val="1"/>
      <w:marLeft w:val="0"/>
      <w:marRight w:val="0"/>
      <w:marTop w:val="0"/>
      <w:marBottom w:val="0"/>
      <w:divBdr>
        <w:top w:val="none" w:sz="0" w:space="0" w:color="auto"/>
        <w:left w:val="none" w:sz="0" w:space="0" w:color="auto"/>
        <w:bottom w:val="none" w:sz="0" w:space="0" w:color="auto"/>
        <w:right w:val="none" w:sz="0" w:space="0" w:color="auto"/>
      </w:divBdr>
    </w:div>
    <w:div w:id="1353921709">
      <w:bodyDiv w:val="1"/>
      <w:marLeft w:val="0"/>
      <w:marRight w:val="0"/>
      <w:marTop w:val="0"/>
      <w:marBottom w:val="0"/>
      <w:divBdr>
        <w:top w:val="none" w:sz="0" w:space="0" w:color="auto"/>
        <w:left w:val="none" w:sz="0" w:space="0" w:color="auto"/>
        <w:bottom w:val="none" w:sz="0" w:space="0" w:color="auto"/>
        <w:right w:val="none" w:sz="0" w:space="0" w:color="auto"/>
      </w:divBdr>
    </w:div>
    <w:div w:id="1354068503">
      <w:bodyDiv w:val="1"/>
      <w:marLeft w:val="0"/>
      <w:marRight w:val="0"/>
      <w:marTop w:val="0"/>
      <w:marBottom w:val="0"/>
      <w:divBdr>
        <w:top w:val="none" w:sz="0" w:space="0" w:color="auto"/>
        <w:left w:val="none" w:sz="0" w:space="0" w:color="auto"/>
        <w:bottom w:val="none" w:sz="0" w:space="0" w:color="auto"/>
        <w:right w:val="none" w:sz="0" w:space="0" w:color="auto"/>
      </w:divBdr>
    </w:div>
    <w:div w:id="1357853127">
      <w:bodyDiv w:val="1"/>
      <w:marLeft w:val="0"/>
      <w:marRight w:val="0"/>
      <w:marTop w:val="0"/>
      <w:marBottom w:val="0"/>
      <w:divBdr>
        <w:top w:val="none" w:sz="0" w:space="0" w:color="auto"/>
        <w:left w:val="none" w:sz="0" w:space="0" w:color="auto"/>
        <w:bottom w:val="none" w:sz="0" w:space="0" w:color="auto"/>
        <w:right w:val="none" w:sz="0" w:space="0" w:color="auto"/>
      </w:divBdr>
      <w:divsChild>
        <w:div w:id="1522862603">
          <w:marLeft w:val="0"/>
          <w:marRight w:val="0"/>
          <w:marTop w:val="0"/>
          <w:marBottom w:val="0"/>
          <w:divBdr>
            <w:top w:val="none" w:sz="0" w:space="0" w:color="auto"/>
            <w:left w:val="none" w:sz="0" w:space="0" w:color="auto"/>
            <w:bottom w:val="none" w:sz="0" w:space="0" w:color="auto"/>
            <w:right w:val="none" w:sz="0" w:space="0" w:color="auto"/>
          </w:divBdr>
          <w:divsChild>
            <w:div w:id="1622300310">
              <w:marLeft w:val="0"/>
              <w:marRight w:val="0"/>
              <w:marTop w:val="0"/>
              <w:marBottom w:val="0"/>
              <w:divBdr>
                <w:top w:val="none" w:sz="0" w:space="0" w:color="auto"/>
                <w:left w:val="none" w:sz="0" w:space="0" w:color="auto"/>
                <w:bottom w:val="none" w:sz="0" w:space="0" w:color="auto"/>
                <w:right w:val="none" w:sz="0" w:space="0" w:color="auto"/>
              </w:divBdr>
              <w:divsChild>
                <w:div w:id="1367370105">
                  <w:marLeft w:val="0"/>
                  <w:marRight w:val="0"/>
                  <w:marTop w:val="0"/>
                  <w:marBottom w:val="0"/>
                  <w:divBdr>
                    <w:top w:val="none" w:sz="0" w:space="0" w:color="auto"/>
                    <w:left w:val="none" w:sz="0" w:space="0" w:color="auto"/>
                    <w:bottom w:val="none" w:sz="0" w:space="0" w:color="auto"/>
                    <w:right w:val="none" w:sz="0" w:space="0" w:color="auto"/>
                  </w:divBdr>
                  <w:divsChild>
                    <w:div w:id="1923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9119">
          <w:marLeft w:val="0"/>
          <w:marRight w:val="0"/>
          <w:marTop w:val="0"/>
          <w:marBottom w:val="0"/>
          <w:divBdr>
            <w:top w:val="none" w:sz="0" w:space="0" w:color="auto"/>
            <w:left w:val="none" w:sz="0" w:space="0" w:color="auto"/>
            <w:bottom w:val="none" w:sz="0" w:space="0" w:color="auto"/>
            <w:right w:val="none" w:sz="0" w:space="0" w:color="auto"/>
          </w:divBdr>
          <w:divsChild>
            <w:div w:id="1301350654">
              <w:marLeft w:val="0"/>
              <w:marRight w:val="0"/>
              <w:marTop w:val="0"/>
              <w:marBottom w:val="0"/>
              <w:divBdr>
                <w:top w:val="none" w:sz="0" w:space="0" w:color="auto"/>
                <w:left w:val="none" w:sz="0" w:space="0" w:color="auto"/>
                <w:bottom w:val="none" w:sz="0" w:space="0" w:color="auto"/>
                <w:right w:val="none" w:sz="0" w:space="0" w:color="auto"/>
              </w:divBdr>
              <w:divsChild>
                <w:div w:id="939068125">
                  <w:marLeft w:val="0"/>
                  <w:marRight w:val="0"/>
                  <w:marTop w:val="0"/>
                  <w:marBottom w:val="0"/>
                  <w:divBdr>
                    <w:top w:val="none" w:sz="0" w:space="0" w:color="auto"/>
                    <w:left w:val="none" w:sz="0" w:space="0" w:color="auto"/>
                    <w:bottom w:val="none" w:sz="0" w:space="0" w:color="auto"/>
                    <w:right w:val="none" w:sz="0" w:space="0" w:color="auto"/>
                  </w:divBdr>
                  <w:divsChild>
                    <w:div w:id="17562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002814">
      <w:bodyDiv w:val="1"/>
      <w:marLeft w:val="0"/>
      <w:marRight w:val="0"/>
      <w:marTop w:val="0"/>
      <w:marBottom w:val="0"/>
      <w:divBdr>
        <w:top w:val="none" w:sz="0" w:space="0" w:color="auto"/>
        <w:left w:val="none" w:sz="0" w:space="0" w:color="auto"/>
        <w:bottom w:val="none" w:sz="0" w:space="0" w:color="auto"/>
        <w:right w:val="none" w:sz="0" w:space="0" w:color="auto"/>
      </w:divBdr>
    </w:div>
    <w:div w:id="1359627560">
      <w:bodyDiv w:val="1"/>
      <w:marLeft w:val="0"/>
      <w:marRight w:val="0"/>
      <w:marTop w:val="0"/>
      <w:marBottom w:val="0"/>
      <w:divBdr>
        <w:top w:val="none" w:sz="0" w:space="0" w:color="auto"/>
        <w:left w:val="none" w:sz="0" w:space="0" w:color="auto"/>
        <w:bottom w:val="none" w:sz="0" w:space="0" w:color="auto"/>
        <w:right w:val="none" w:sz="0" w:space="0" w:color="auto"/>
      </w:divBdr>
    </w:div>
    <w:div w:id="1369136785">
      <w:bodyDiv w:val="1"/>
      <w:marLeft w:val="0"/>
      <w:marRight w:val="0"/>
      <w:marTop w:val="0"/>
      <w:marBottom w:val="0"/>
      <w:divBdr>
        <w:top w:val="none" w:sz="0" w:space="0" w:color="auto"/>
        <w:left w:val="none" w:sz="0" w:space="0" w:color="auto"/>
        <w:bottom w:val="none" w:sz="0" w:space="0" w:color="auto"/>
        <w:right w:val="none" w:sz="0" w:space="0" w:color="auto"/>
      </w:divBdr>
    </w:div>
    <w:div w:id="1374695193">
      <w:bodyDiv w:val="1"/>
      <w:marLeft w:val="0"/>
      <w:marRight w:val="0"/>
      <w:marTop w:val="0"/>
      <w:marBottom w:val="0"/>
      <w:divBdr>
        <w:top w:val="none" w:sz="0" w:space="0" w:color="auto"/>
        <w:left w:val="none" w:sz="0" w:space="0" w:color="auto"/>
        <w:bottom w:val="none" w:sz="0" w:space="0" w:color="auto"/>
        <w:right w:val="none" w:sz="0" w:space="0" w:color="auto"/>
      </w:divBdr>
    </w:div>
    <w:div w:id="1381320513">
      <w:bodyDiv w:val="1"/>
      <w:marLeft w:val="0"/>
      <w:marRight w:val="0"/>
      <w:marTop w:val="0"/>
      <w:marBottom w:val="0"/>
      <w:divBdr>
        <w:top w:val="none" w:sz="0" w:space="0" w:color="auto"/>
        <w:left w:val="none" w:sz="0" w:space="0" w:color="auto"/>
        <w:bottom w:val="none" w:sz="0" w:space="0" w:color="auto"/>
        <w:right w:val="none" w:sz="0" w:space="0" w:color="auto"/>
      </w:divBdr>
    </w:div>
    <w:div w:id="1381514529">
      <w:bodyDiv w:val="1"/>
      <w:marLeft w:val="0"/>
      <w:marRight w:val="0"/>
      <w:marTop w:val="0"/>
      <w:marBottom w:val="0"/>
      <w:divBdr>
        <w:top w:val="none" w:sz="0" w:space="0" w:color="auto"/>
        <w:left w:val="none" w:sz="0" w:space="0" w:color="auto"/>
        <w:bottom w:val="none" w:sz="0" w:space="0" w:color="auto"/>
        <w:right w:val="none" w:sz="0" w:space="0" w:color="auto"/>
      </w:divBdr>
    </w:div>
    <w:div w:id="1384403386">
      <w:bodyDiv w:val="1"/>
      <w:marLeft w:val="0"/>
      <w:marRight w:val="0"/>
      <w:marTop w:val="0"/>
      <w:marBottom w:val="0"/>
      <w:divBdr>
        <w:top w:val="none" w:sz="0" w:space="0" w:color="auto"/>
        <w:left w:val="none" w:sz="0" w:space="0" w:color="auto"/>
        <w:bottom w:val="none" w:sz="0" w:space="0" w:color="auto"/>
        <w:right w:val="none" w:sz="0" w:space="0" w:color="auto"/>
      </w:divBdr>
    </w:div>
    <w:div w:id="1386024365">
      <w:bodyDiv w:val="1"/>
      <w:marLeft w:val="0"/>
      <w:marRight w:val="0"/>
      <w:marTop w:val="0"/>
      <w:marBottom w:val="0"/>
      <w:divBdr>
        <w:top w:val="none" w:sz="0" w:space="0" w:color="auto"/>
        <w:left w:val="none" w:sz="0" w:space="0" w:color="auto"/>
        <w:bottom w:val="none" w:sz="0" w:space="0" w:color="auto"/>
        <w:right w:val="none" w:sz="0" w:space="0" w:color="auto"/>
      </w:divBdr>
    </w:div>
    <w:div w:id="1386030381">
      <w:bodyDiv w:val="1"/>
      <w:marLeft w:val="0"/>
      <w:marRight w:val="0"/>
      <w:marTop w:val="0"/>
      <w:marBottom w:val="0"/>
      <w:divBdr>
        <w:top w:val="none" w:sz="0" w:space="0" w:color="auto"/>
        <w:left w:val="none" w:sz="0" w:space="0" w:color="auto"/>
        <w:bottom w:val="none" w:sz="0" w:space="0" w:color="auto"/>
        <w:right w:val="none" w:sz="0" w:space="0" w:color="auto"/>
      </w:divBdr>
    </w:div>
    <w:div w:id="1389377154">
      <w:bodyDiv w:val="1"/>
      <w:marLeft w:val="0"/>
      <w:marRight w:val="0"/>
      <w:marTop w:val="0"/>
      <w:marBottom w:val="0"/>
      <w:divBdr>
        <w:top w:val="none" w:sz="0" w:space="0" w:color="auto"/>
        <w:left w:val="none" w:sz="0" w:space="0" w:color="auto"/>
        <w:bottom w:val="none" w:sz="0" w:space="0" w:color="auto"/>
        <w:right w:val="none" w:sz="0" w:space="0" w:color="auto"/>
      </w:divBdr>
    </w:div>
    <w:div w:id="1391804736">
      <w:bodyDiv w:val="1"/>
      <w:marLeft w:val="0"/>
      <w:marRight w:val="0"/>
      <w:marTop w:val="0"/>
      <w:marBottom w:val="0"/>
      <w:divBdr>
        <w:top w:val="none" w:sz="0" w:space="0" w:color="auto"/>
        <w:left w:val="none" w:sz="0" w:space="0" w:color="auto"/>
        <w:bottom w:val="none" w:sz="0" w:space="0" w:color="auto"/>
        <w:right w:val="none" w:sz="0" w:space="0" w:color="auto"/>
      </w:divBdr>
    </w:div>
    <w:div w:id="1392078304">
      <w:bodyDiv w:val="1"/>
      <w:marLeft w:val="0"/>
      <w:marRight w:val="0"/>
      <w:marTop w:val="0"/>
      <w:marBottom w:val="0"/>
      <w:divBdr>
        <w:top w:val="none" w:sz="0" w:space="0" w:color="auto"/>
        <w:left w:val="none" w:sz="0" w:space="0" w:color="auto"/>
        <w:bottom w:val="none" w:sz="0" w:space="0" w:color="auto"/>
        <w:right w:val="none" w:sz="0" w:space="0" w:color="auto"/>
      </w:divBdr>
    </w:div>
    <w:div w:id="1395272243">
      <w:bodyDiv w:val="1"/>
      <w:marLeft w:val="0"/>
      <w:marRight w:val="0"/>
      <w:marTop w:val="0"/>
      <w:marBottom w:val="0"/>
      <w:divBdr>
        <w:top w:val="none" w:sz="0" w:space="0" w:color="auto"/>
        <w:left w:val="none" w:sz="0" w:space="0" w:color="auto"/>
        <w:bottom w:val="none" w:sz="0" w:space="0" w:color="auto"/>
        <w:right w:val="none" w:sz="0" w:space="0" w:color="auto"/>
      </w:divBdr>
    </w:div>
    <w:div w:id="1401639345">
      <w:bodyDiv w:val="1"/>
      <w:marLeft w:val="0"/>
      <w:marRight w:val="0"/>
      <w:marTop w:val="0"/>
      <w:marBottom w:val="0"/>
      <w:divBdr>
        <w:top w:val="none" w:sz="0" w:space="0" w:color="auto"/>
        <w:left w:val="none" w:sz="0" w:space="0" w:color="auto"/>
        <w:bottom w:val="none" w:sz="0" w:space="0" w:color="auto"/>
        <w:right w:val="none" w:sz="0" w:space="0" w:color="auto"/>
      </w:divBdr>
    </w:div>
    <w:div w:id="1401713480">
      <w:bodyDiv w:val="1"/>
      <w:marLeft w:val="0"/>
      <w:marRight w:val="0"/>
      <w:marTop w:val="0"/>
      <w:marBottom w:val="0"/>
      <w:divBdr>
        <w:top w:val="none" w:sz="0" w:space="0" w:color="auto"/>
        <w:left w:val="none" w:sz="0" w:space="0" w:color="auto"/>
        <w:bottom w:val="none" w:sz="0" w:space="0" w:color="auto"/>
        <w:right w:val="none" w:sz="0" w:space="0" w:color="auto"/>
      </w:divBdr>
    </w:div>
    <w:div w:id="1405180356">
      <w:bodyDiv w:val="1"/>
      <w:marLeft w:val="0"/>
      <w:marRight w:val="0"/>
      <w:marTop w:val="0"/>
      <w:marBottom w:val="0"/>
      <w:divBdr>
        <w:top w:val="none" w:sz="0" w:space="0" w:color="auto"/>
        <w:left w:val="none" w:sz="0" w:space="0" w:color="auto"/>
        <w:bottom w:val="none" w:sz="0" w:space="0" w:color="auto"/>
        <w:right w:val="none" w:sz="0" w:space="0" w:color="auto"/>
      </w:divBdr>
    </w:div>
    <w:div w:id="1406803143">
      <w:bodyDiv w:val="1"/>
      <w:marLeft w:val="0"/>
      <w:marRight w:val="0"/>
      <w:marTop w:val="0"/>
      <w:marBottom w:val="0"/>
      <w:divBdr>
        <w:top w:val="none" w:sz="0" w:space="0" w:color="auto"/>
        <w:left w:val="none" w:sz="0" w:space="0" w:color="auto"/>
        <w:bottom w:val="none" w:sz="0" w:space="0" w:color="auto"/>
        <w:right w:val="none" w:sz="0" w:space="0" w:color="auto"/>
      </w:divBdr>
    </w:div>
    <w:div w:id="1409186978">
      <w:bodyDiv w:val="1"/>
      <w:marLeft w:val="0"/>
      <w:marRight w:val="0"/>
      <w:marTop w:val="0"/>
      <w:marBottom w:val="0"/>
      <w:divBdr>
        <w:top w:val="none" w:sz="0" w:space="0" w:color="auto"/>
        <w:left w:val="none" w:sz="0" w:space="0" w:color="auto"/>
        <w:bottom w:val="none" w:sz="0" w:space="0" w:color="auto"/>
        <w:right w:val="none" w:sz="0" w:space="0" w:color="auto"/>
      </w:divBdr>
    </w:div>
    <w:div w:id="1409378219">
      <w:bodyDiv w:val="1"/>
      <w:marLeft w:val="0"/>
      <w:marRight w:val="0"/>
      <w:marTop w:val="0"/>
      <w:marBottom w:val="0"/>
      <w:divBdr>
        <w:top w:val="none" w:sz="0" w:space="0" w:color="auto"/>
        <w:left w:val="none" w:sz="0" w:space="0" w:color="auto"/>
        <w:bottom w:val="none" w:sz="0" w:space="0" w:color="auto"/>
        <w:right w:val="none" w:sz="0" w:space="0" w:color="auto"/>
      </w:divBdr>
    </w:div>
    <w:div w:id="1419717459">
      <w:bodyDiv w:val="1"/>
      <w:marLeft w:val="0"/>
      <w:marRight w:val="0"/>
      <w:marTop w:val="0"/>
      <w:marBottom w:val="0"/>
      <w:divBdr>
        <w:top w:val="none" w:sz="0" w:space="0" w:color="auto"/>
        <w:left w:val="none" w:sz="0" w:space="0" w:color="auto"/>
        <w:bottom w:val="none" w:sz="0" w:space="0" w:color="auto"/>
        <w:right w:val="none" w:sz="0" w:space="0" w:color="auto"/>
      </w:divBdr>
    </w:div>
    <w:div w:id="1420129444">
      <w:bodyDiv w:val="1"/>
      <w:marLeft w:val="0"/>
      <w:marRight w:val="0"/>
      <w:marTop w:val="0"/>
      <w:marBottom w:val="0"/>
      <w:divBdr>
        <w:top w:val="none" w:sz="0" w:space="0" w:color="auto"/>
        <w:left w:val="none" w:sz="0" w:space="0" w:color="auto"/>
        <w:bottom w:val="none" w:sz="0" w:space="0" w:color="auto"/>
        <w:right w:val="none" w:sz="0" w:space="0" w:color="auto"/>
      </w:divBdr>
    </w:div>
    <w:div w:id="1422482799">
      <w:bodyDiv w:val="1"/>
      <w:marLeft w:val="0"/>
      <w:marRight w:val="0"/>
      <w:marTop w:val="0"/>
      <w:marBottom w:val="0"/>
      <w:divBdr>
        <w:top w:val="none" w:sz="0" w:space="0" w:color="auto"/>
        <w:left w:val="none" w:sz="0" w:space="0" w:color="auto"/>
        <w:bottom w:val="none" w:sz="0" w:space="0" w:color="auto"/>
        <w:right w:val="none" w:sz="0" w:space="0" w:color="auto"/>
      </w:divBdr>
      <w:divsChild>
        <w:div w:id="1384525486">
          <w:marLeft w:val="0"/>
          <w:marRight w:val="0"/>
          <w:marTop w:val="0"/>
          <w:marBottom w:val="0"/>
          <w:divBdr>
            <w:top w:val="none" w:sz="0" w:space="0" w:color="auto"/>
            <w:left w:val="none" w:sz="0" w:space="0" w:color="auto"/>
            <w:bottom w:val="none" w:sz="0" w:space="0" w:color="auto"/>
            <w:right w:val="none" w:sz="0" w:space="0" w:color="auto"/>
          </w:divBdr>
        </w:div>
      </w:divsChild>
    </w:div>
    <w:div w:id="1422486087">
      <w:bodyDiv w:val="1"/>
      <w:marLeft w:val="0"/>
      <w:marRight w:val="0"/>
      <w:marTop w:val="0"/>
      <w:marBottom w:val="0"/>
      <w:divBdr>
        <w:top w:val="none" w:sz="0" w:space="0" w:color="auto"/>
        <w:left w:val="none" w:sz="0" w:space="0" w:color="auto"/>
        <w:bottom w:val="none" w:sz="0" w:space="0" w:color="auto"/>
        <w:right w:val="none" w:sz="0" w:space="0" w:color="auto"/>
      </w:divBdr>
    </w:div>
    <w:div w:id="1428379612">
      <w:bodyDiv w:val="1"/>
      <w:marLeft w:val="0"/>
      <w:marRight w:val="0"/>
      <w:marTop w:val="0"/>
      <w:marBottom w:val="0"/>
      <w:divBdr>
        <w:top w:val="none" w:sz="0" w:space="0" w:color="auto"/>
        <w:left w:val="none" w:sz="0" w:space="0" w:color="auto"/>
        <w:bottom w:val="none" w:sz="0" w:space="0" w:color="auto"/>
        <w:right w:val="none" w:sz="0" w:space="0" w:color="auto"/>
      </w:divBdr>
    </w:div>
    <w:div w:id="1428382216">
      <w:bodyDiv w:val="1"/>
      <w:marLeft w:val="0"/>
      <w:marRight w:val="0"/>
      <w:marTop w:val="0"/>
      <w:marBottom w:val="0"/>
      <w:divBdr>
        <w:top w:val="none" w:sz="0" w:space="0" w:color="auto"/>
        <w:left w:val="none" w:sz="0" w:space="0" w:color="auto"/>
        <w:bottom w:val="none" w:sz="0" w:space="0" w:color="auto"/>
        <w:right w:val="none" w:sz="0" w:space="0" w:color="auto"/>
      </w:divBdr>
    </w:div>
    <w:div w:id="1434549263">
      <w:bodyDiv w:val="1"/>
      <w:marLeft w:val="0"/>
      <w:marRight w:val="0"/>
      <w:marTop w:val="0"/>
      <w:marBottom w:val="0"/>
      <w:divBdr>
        <w:top w:val="none" w:sz="0" w:space="0" w:color="auto"/>
        <w:left w:val="none" w:sz="0" w:space="0" w:color="auto"/>
        <w:bottom w:val="none" w:sz="0" w:space="0" w:color="auto"/>
        <w:right w:val="none" w:sz="0" w:space="0" w:color="auto"/>
      </w:divBdr>
    </w:div>
    <w:div w:id="1443186205">
      <w:bodyDiv w:val="1"/>
      <w:marLeft w:val="0"/>
      <w:marRight w:val="0"/>
      <w:marTop w:val="0"/>
      <w:marBottom w:val="0"/>
      <w:divBdr>
        <w:top w:val="none" w:sz="0" w:space="0" w:color="auto"/>
        <w:left w:val="none" w:sz="0" w:space="0" w:color="auto"/>
        <w:bottom w:val="none" w:sz="0" w:space="0" w:color="auto"/>
        <w:right w:val="none" w:sz="0" w:space="0" w:color="auto"/>
      </w:divBdr>
    </w:div>
    <w:div w:id="1448308802">
      <w:bodyDiv w:val="1"/>
      <w:marLeft w:val="0"/>
      <w:marRight w:val="0"/>
      <w:marTop w:val="0"/>
      <w:marBottom w:val="0"/>
      <w:divBdr>
        <w:top w:val="none" w:sz="0" w:space="0" w:color="auto"/>
        <w:left w:val="none" w:sz="0" w:space="0" w:color="auto"/>
        <w:bottom w:val="none" w:sz="0" w:space="0" w:color="auto"/>
        <w:right w:val="none" w:sz="0" w:space="0" w:color="auto"/>
      </w:divBdr>
    </w:div>
    <w:div w:id="1449161984">
      <w:bodyDiv w:val="1"/>
      <w:marLeft w:val="0"/>
      <w:marRight w:val="0"/>
      <w:marTop w:val="0"/>
      <w:marBottom w:val="0"/>
      <w:divBdr>
        <w:top w:val="none" w:sz="0" w:space="0" w:color="auto"/>
        <w:left w:val="none" w:sz="0" w:space="0" w:color="auto"/>
        <w:bottom w:val="none" w:sz="0" w:space="0" w:color="auto"/>
        <w:right w:val="none" w:sz="0" w:space="0" w:color="auto"/>
      </w:divBdr>
    </w:div>
    <w:div w:id="1452625145">
      <w:bodyDiv w:val="1"/>
      <w:marLeft w:val="0"/>
      <w:marRight w:val="0"/>
      <w:marTop w:val="0"/>
      <w:marBottom w:val="0"/>
      <w:divBdr>
        <w:top w:val="none" w:sz="0" w:space="0" w:color="auto"/>
        <w:left w:val="none" w:sz="0" w:space="0" w:color="auto"/>
        <w:bottom w:val="none" w:sz="0" w:space="0" w:color="auto"/>
        <w:right w:val="none" w:sz="0" w:space="0" w:color="auto"/>
      </w:divBdr>
    </w:div>
    <w:div w:id="1453329607">
      <w:bodyDiv w:val="1"/>
      <w:marLeft w:val="0"/>
      <w:marRight w:val="0"/>
      <w:marTop w:val="0"/>
      <w:marBottom w:val="0"/>
      <w:divBdr>
        <w:top w:val="none" w:sz="0" w:space="0" w:color="auto"/>
        <w:left w:val="none" w:sz="0" w:space="0" w:color="auto"/>
        <w:bottom w:val="none" w:sz="0" w:space="0" w:color="auto"/>
        <w:right w:val="none" w:sz="0" w:space="0" w:color="auto"/>
      </w:divBdr>
    </w:div>
    <w:div w:id="1455559275">
      <w:bodyDiv w:val="1"/>
      <w:marLeft w:val="0"/>
      <w:marRight w:val="0"/>
      <w:marTop w:val="0"/>
      <w:marBottom w:val="0"/>
      <w:divBdr>
        <w:top w:val="none" w:sz="0" w:space="0" w:color="auto"/>
        <w:left w:val="none" w:sz="0" w:space="0" w:color="auto"/>
        <w:bottom w:val="none" w:sz="0" w:space="0" w:color="auto"/>
        <w:right w:val="none" w:sz="0" w:space="0" w:color="auto"/>
      </w:divBdr>
    </w:div>
    <w:div w:id="1455903598">
      <w:bodyDiv w:val="1"/>
      <w:marLeft w:val="0"/>
      <w:marRight w:val="0"/>
      <w:marTop w:val="0"/>
      <w:marBottom w:val="0"/>
      <w:divBdr>
        <w:top w:val="none" w:sz="0" w:space="0" w:color="auto"/>
        <w:left w:val="none" w:sz="0" w:space="0" w:color="auto"/>
        <w:bottom w:val="none" w:sz="0" w:space="0" w:color="auto"/>
        <w:right w:val="none" w:sz="0" w:space="0" w:color="auto"/>
      </w:divBdr>
    </w:div>
    <w:div w:id="1456437547">
      <w:bodyDiv w:val="1"/>
      <w:marLeft w:val="0"/>
      <w:marRight w:val="0"/>
      <w:marTop w:val="0"/>
      <w:marBottom w:val="0"/>
      <w:divBdr>
        <w:top w:val="none" w:sz="0" w:space="0" w:color="auto"/>
        <w:left w:val="none" w:sz="0" w:space="0" w:color="auto"/>
        <w:bottom w:val="none" w:sz="0" w:space="0" w:color="auto"/>
        <w:right w:val="none" w:sz="0" w:space="0" w:color="auto"/>
      </w:divBdr>
    </w:div>
    <w:div w:id="1461610382">
      <w:bodyDiv w:val="1"/>
      <w:marLeft w:val="0"/>
      <w:marRight w:val="0"/>
      <w:marTop w:val="0"/>
      <w:marBottom w:val="0"/>
      <w:divBdr>
        <w:top w:val="none" w:sz="0" w:space="0" w:color="auto"/>
        <w:left w:val="none" w:sz="0" w:space="0" w:color="auto"/>
        <w:bottom w:val="none" w:sz="0" w:space="0" w:color="auto"/>
        <w:right w:val="none" w:sz="0" w:space="0" w:color="auto"/>
      </w:divBdr>
    </w:div>
    <w:div w:id="1461799151">
      <w:bodyDiv w:val="1"/>
      <w:marLeft w:val="0"/>
      <w:marRight w:val="0"/>
      <w:marTop w:val="0"/>
      <w:marBottom w:val="0"/>
      <w:divBdr>
        <w:top w:val="none" w:sz="0" w:space="0" w:color="auto"/>
        <w:left w:val="none" w:sz="0" w:space="0" w:color="auto"/>
        <w:bottom w:val="none" w:sz="0" w:space="0" w:color="auto"/>
        <w:right w:val="none" w:sz="0" w:space="0" w:color="auto"/>
      </w:divBdr>
    </w:div>
    <w:div w:id="1464032609">
      <w:bodyDiv w:val="1"/>
      <w:marLeft w:val="0"/>
      <w:marRight w:val="0"/>
      <w:marTop w:val="0"/>
      <w:marBottom w:val="0"/>
      <w:divBdr>
        <w:top w:val="none" w:sz="0" w:space="0" w:color="auto"/>
        <w:left w:val="none" w:sz="0" w:space="0" w:color="auto"/>
        <w:bottom w:val="none" w:sz="0" w:space="0" w:color="auto"/>
        <w:right w:val="none" w:sz="0" w:space="0" w:color="auto"/>
      </w:divBdr>
    </w:div>
    <w:div w:id="1464958703">
      <w:bodyDiv w:val="1"/>
      <w:marLeft w:val="0"/>
      <w:marRight w:val="0"/>
      <w:marTop w:val="0"/>
      <w:marBottom w:val="0"/>
      <w:divBdr>
        <w:top w:val="none" w:sz="0" w:space="0" w:color="auto"/>
        <w:left w:val="none" w:sz="0" w:space="0" w:color="auto"/>
        <w:bottom w:val="none" w:sz="0" w:space="0" w:color="auto"/>
        <w:right w:val="none" w:sz="0" w:space="0" w:color="auto"/>
      </w:divBdr>
      <w:divsChild>
        <w:div w:id="654603641">
          <w:marLeft w:val="0"/>
          <w:marRight w:val="0"/>
          <w:marTop w:val="0"/>
          <w:marBottom w:val="0"/>
          <w:divBdr>
            <w:top w:val="none" w:sz="0" w:space="0" w:color="auto"/>
            <w:left w:val="none" w:sz="0" w:space="0" w:color="auto"/>
            <w:bottom w:val="none" w:sz="0" w:space="0" w:color="auto"/>
            <w:right w:val="none" w:sz="0" w:space="0" w:color="auto"/>
          </w:divBdr>
          <w:divsChild>
            <w:div w:id="856651765">
              <w:marLeft w:val="0"/>
              <w:marRight w:val="0"/>
              <w:marTop w:val="0"/>
              <w:marBottom w:val="0"/>
              <w:divBdr>
                <w:top w:val="none" w:sz="0" w:space="0" w:color="auto"/>
                <w:left w:val="none" w:sz="0" w:space="0" w:color="auto"/>
                <w:bottom w:val="none" w:sz="0" w:space="0" w:color="auto"/>
                <w:right w:val="none" w:sz="0" w:space="0" w:color="auto"/>
              </w:divBdr>
              <w:divsChild>
                <w:div w:id="788009463">
                  <w:marLeft w:val="0"/>
                  <w:marRight w:val="0"/>
                  <w:marTop w:val="0"/>
                  <w:marBottom w:val="0"/>
                  <w:divBdr>
                    <w:top w:val="none" w:sz="0" w:space="0" w:color="auto"/>
                    <w:left w:val="none" w:sz="0" w:space="0" w:color="auto"/>
                    <w:bottom w:val="none" w:sz="0" w:space="0" w:color="auto"/>
                    <w:right w:val="none" w:sz="0" w:space="0" w:color="auto"/>
                  </w:divBdr>
                  <w:divsChild>
                    <w:div w:id="740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2993">
          <w:marLeft w:val="0"/>
          <w:marRight w:val="0"/>
          <w:marTop w:val="0"/>
          <w:marBottom w:val="0"/>
          <w:divBdr>
            <w:top w:val="none" w:sz="0" w:space="0" w:color="auto"/>
            <w:left w:val="none" w:sz="0" w:space="0" w:color="auto"/>
            <w:bottom w:val="none" w:sz="0" w:space="0" w:color="auto"/>
            <w:right w:val="none" w:sz="0" w:space="0" w:color="auto"/>
          </w:divBdr>
          <w:divsChild>
            <w:div w:id="190924830">
              <w:marLeft w:val="0"/>
              <w:marRight w:val="0"/>
              <w:marTop w:val="0"/>
              <w:marBottom w:val="0"/>
              <w:divBdr>
                <w:top w:val="none" w:sz="0" w:space="0" w:color="auto"/>
                <w:left w:val="none" w:sz="0" w:space="0" w:color="auto"/>
                <w:bottom w:val="none" w:sz="0" w:space="0" w:color="auto"/>
                <w:right w:val="none" w:sz="0" w:space="0" w:color="auto"/>
              </w:divBdr>
              <w:divsChild>
                <w:div w:id="1385713766">
                  <w:marLeft w:val="0"/>
                  <w:marRight w:val="0"/>
                  <w:marTop w:val="0"/>
                  <w:marBottom w:val="0"/>
                  <w:divBdr>
                    <w:top w:val="none" w:sz="0" w:space="0" w:color="auto"/>
                    <w:left w:val="none" w:sz="0" w:space="0" w:color="auto"/>
                    <w:bottom w:val="none" w:sz="0" w:space="0" w:color="auto"/>
                    <w:right w:val="none" w:sz="0" w:space="0" w:color="auto"/>
                  </w:divBdr>
                  <w:divsChild>
                    <w:div w:id="262612670">
                      <w:marLeft w:val="0"/>
                      <w:marRight w:val="0"/>
                      <w:marTop w:val="0"/>
                      <w:marBottom w:val="0"/>
                      <w:divBdr>
                        <w:top w:val="none" w:sz="0" w:space="0" w:color="auto"/>
                        <w:left w:val="none" w:sz="0" w:space="0" w:color="auto"/>
                        <w:bottom w:val="none" w:sz="0" w:space="0" w:color="auto"/>
                        <w:right w:val="none" w:sz="0" w:space="0" w:color="auto"/>
                      </w:divBdr>
                      <w:divsChild>
                        <w:div w:id="858661360">
                          <w:marLeft w:val="0"/>
                          <w:marRight w:val="0"/>
                          <w:marTop w:val="0"/>
                          <w:marBottom w:val="0"/>
                          <w:divBdr>
                            <w:top w:val="none" w:sz="0" w:space="0" w:color="auto"/>
                            <w:left w:val="none" w:sz="0" w:space="0" w:color="auto"/>
                            <w:bottom w:val="none" w:sz="0" w:space="0" w:color="auto"/>
                            <w:right w:val="none" w:sz="0" w:space="0" w:color="auto"/>
                          </w:divBdr>
                          <w:divsChild>
                            <w:div w:id="1823811204">
                              <w:marLeft w:val="0"/>
                              <w:marRight w:val="0"/>
                              <w:marTop w:val="0"/>
                              <w:marBottom w:val="0"/>
                              <w:divBdr>
                                <w:top w:val="none" w:sz="0" w:space="0" w:color="auto"/>
                                <w:left w:val="none" w:sz="0" w:space="0" w:color="auto"/>
                                <w:bottom w:val="none" w:sz="0" w:space="0" w:color="auto"/>
                                <w:right w:val="none" w:sz="0" w:space="0" w:color="auto"/>
                              </w:divBdr>
                              <w:divsChild>
                                <w:div w:id="354428153">
                                  <w:marLeft w:val="0"/>
                                  <w:marRight w:val="0"/>
                                  <w:marTop w:val="0"/>
                                  <w:marBottom w:val="0"/>
                                  <w:divBdr>
                                    <w:top w:val="none" w:sz="0" w:space="0" w:color="auto"/>
                                    <w:left w:val="none" w:sz="0" w:space="0" w:color="auto"/>
                                    <w:bottom w:val="none" w:sz="0" w:space="0" w:color="auto"/>
                                    <w:right w:val="none" w:sz="0" w:space="0" w:color="auto"/>
                                  </w:divBdr>
                                  <w:divsChild>
                                    <w:div w:id="1410692909">
                                      <w:marLeft w:val="0"/>
                                      <w:marRight w:val="0"/>
                                      <w:marTop w:val="0"/>
                                      <w:marBottom w:val="0"/>
                                      <w:divBdr>
                                        <w:top w:val="none" w:sz="0" w:space="0" w:color="auto"/>
                                        <w:left w:val="none" w:sz="0" w:space="0" w:color="auto"/>
                                        <w:bottom w:val="none" w:sz="0" w:space="0" w:color="auto"/>
                                        <w:right w:val="none" w:sz="0" w:space="0" w:color="auto"/>
                                      </w:divBdr>
                                      <w:divsChild>
                                        <w:div w:id="2120680917">
                                          <w:marLeft w:val="0"/>
                                          <w:marRight w:val="0"/>
                                          <w:marTop w:val="0"/>
                                          <w:marBottom w:val="0"/>
                                          <w:divBdr>
                                            <w:top w:val="none" w:sz="0" w:space="0" w:color="auto"/>
                                            <w:left w:val="none" w:sz="0" w:space="0" w:color="auto"/>
                                            <w:bottom w:val="none" w:sz="0" w:space="0" w:color="auto"/>
                                            <w:right w:val="none" w:sz="0" w:space="0" w:color="auto"/>
                                          </w:divBdr>
                                          <w:divsChild>
                                            <w:div w:id="1319114697">
                                              <w:marLeft w:val="0"/>
                                              <w:marRight w:val="0"/>
                                              <w:marTop w:val="0"/>
                                              <w:marBottom w:val="0"/>
                                              <w:divBdr>
                                                <w:top w:val="none" w:sz="0" w:space="0" w:color="auto"/>
                                                <w:left w:val="none" w:sz="0" w:space="0" w:color="auto"/>
                                                <w:bottom w:val="none" w:sz="0" w:space="0" w:color="auto"/>
                                                <w:right w:val="none" w:sz="0" w:space="0" w:color="auto"/>
                                              </w:divBdr>
                                              <w:divsChild>
                                                <w:div w:id="840319616">
                                                  <w:marLeft w:val="0"/>
                                                  <w:marRight w:val="0"/>
                                                  <w:marTop w:val="0"/>
                                                  <w:marBottom w:val="0"/>
                                                  <w:divBdr>
                                                    <w:top w:val="none" w:sz="0" w:space="0" w:color="auto"/>
                                                    <w:left w:val="none" w:sz="0" w:space="0" w:color="auto"/>
                                                    <w:bottom w:val="none" w:sz="0" w:space="0" w:color="auto"/>
                                                    <w:right w:val="none" w:sz="0" w:space="0" w:color="auto"/>
                                                  </w:divBdr>
                                                  <w:divsChild>
                                                    <w:div w:id="629551399">
                                                      <w:marLeft w:val="0"/>
                                                      <w:marRight w:val="0"/>
                                                      <w:marTop w:val="0"/>
                                                      <w:marBottom w:val="0"/>
                                                      <w:divBdr>
                                                        <w:top w:val="none" w:sz="0" w:space="0" w:color="auto"/>
                                                        <w:left w:val="none" w:sz="0" w:space="0" w:color="auto"/>
                                                        <w:bottom w:val="none" w:sz="0" w:space="0" w:color="auto"/>
                                                        <w:right w:val="none" w:sz="0" w:space="0" w:color="auto"/>
                                                      </w:divBdr>
                                                      <w:divsChild>
                                                        <w:div w:id="19368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90385">
                                              <w:marLeft w:val="0"/>
                                              <w:marRight w:val="0"/>
                                              <w:marTop w:val="0"/>
                                              <w:marBottom w:val="0"/>
                                              <w:divBdr>
                                                <w:top w:val="none" w:sz="0" w:space="0" w:color="auto"/>
                                                <w:left w:val="none" w:sz="0" w:space="0" w:color="auto"/>
                                                <w:bottom w:val="none" w:sz="0" w:space="0" w:color="auto"/>
                                                <w:right w:val="none" w:sz="0" w:space="0" w:color="auto"/>
                                              </w:divBdr>
                                              <w:divsChild>
                                                <w:div w:id="2023974132">
                                                  <w:marLeft w:val="0"/>
                                                  <w:marRight w:val="0"/>
                                                  <w:marTop w:val="0"/>
                                                  <w:marBottom w:val="0"/>
                                                  <w:divBdr>
                                                    <w:top w:val="none" w:sz="0" w:space="0" w:color="auto"/>
                                                    <w:left w:val="none" w:sz="0" w:space="0" w:color="auto"/>
                                                    <w:bottom w:val="none" w:sz="0" w:space="0" w:color="auto"/>
                                                    <w:right w:val="none" w:sz="0" w:space="0" w:color="auto"/>
                                                  </w:divBdr>
                                                  <w:divsChild>
                                                    <w:div w:id="582110246">
                                                      <w:marLeft w:val="0"/>
                                                      <w:marRight w:val="0"/>
                                                      <w:marTop w:val="0"/>
                                                      <w:marBottom w:val="0"/>
                                                      <w:divBdr>
                                                        <w:top w:val="none" w:sz="0" w:space="0" w:color="auto"/>
                                                        <w:left w:val="none" w:sz="0" w:space="0" w:color="auto"/>
                                                        <w:bottom w:val="none" w:sz="0" w:space="0" w:color="auto"/>
                                                        <w:right w:val="none" w:sz="0" w:space="0" w:color="auto"/>
                                                      </w:divBdr>
                                                      <w:divsChild>
                                                        <w:div w:id="14553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510576">
      <w:bodyDiv w:val="1"/>
      <w:marLeft w:val="0"/>
      <w:marRight w:val="0"/>
      <w:marTop w:val="0"/>
      <w:marBottom w:val="0"/>
      <w:divBdr>
        <w:top w:val="none" w:sz="0" w:space="0" w:color="auto"/>
        <w:left w:val="none" w:sz="0" w:space="0" w:color="auto"/>
        <w:bottom w:val="none" w:sz="0" w:space="0" w:color="auto"/>
        <w:right w:val="none" w:sz="0" w:space="0" w:color="auto"/>
      </w:divBdr>
    </w:div>
    <w:div w:id="1468429673">
      <w:bodyDiv w:val="1"/>
      <w:marLeft w:val="0"/>
      <w:marRight w:val="0"/>
      <w:marTop w:val="0"/>
      <w:marBottom w:val="0"/>
      <w:divBdr>
        <w:top w:val="none" w:sz="0" w:space="0" w:color="auto"/>
        <w:left w:val="none" w:sz="0" w:space="0" w:color="auto"/>
        <w:bottom w:val="none" w:sz="0" w:space="0" w:color="auto"/>
        <w:right w:val="none" w:sz="0" w:space="0" w:color="auto"/>
      </w:divBdr>
    </w:div>
    <w:div w:id="1469282782">
      <w:bodyDiv w:val="1"/>
      <w:marLeft w:val="0"/>
      <w:marRight w:val="0"/>
      <w:marTop w:val="0"/>
      <w:marBottom w:val="0"/>
      <w:divBdr>
        <w:top w:val="none" w:sz="0" w:space="0" w:color="auto"/>
        <w:left w:val="none" w:sz="0" w:space="0" w:color="auto"/>
        <w:bottom w:val="none" w:sz="0" w:space="0" w:color="auto"/>
        <w:right w:val="none" w:sz="0" w:space="0" w:color="auto"/>
      </w:divBdr>
    </w:div>
    <w:div w:id="1472283769">
      <w:bodyDiv w:val="1"/>
      <w:marLeft w:val="0"/>
      <w:marRight w:val="0"/>
      <w:marTop w:val="0"/>
      <w:marBottom w:val="0"/>
      <w:divBdr>
        <w:top w:val="none" w:sz="0" w:space="0" w:color="auto"/>
        <w:left w:val="none" w:sz="0" w:space="0" w:color="auto"/>
        <w:bottom w:val="none" w:sz="0" w:space="0" w:color="auto"/>
        <w:right w:val="none" w:sz="0" w:space="0" w:color="auto"/>
      </w:divBdr>
    </w:div>
    <w:div w:id="1472868300">
      <w:bodyDiv w:val="1"/>
      <w:marLeft w:val="0"/>
      <w:marRight w:val="0"/>
      <w:marTop w:val="0"/>
      <w:marBottom w:val="0"/>
      <w:divBdr>
        <w:top w:val="none" w:sz="0" w:space="0" w:color="auto"/>
        <w:left w:val="none" w:sz="0" w:space="0" w:color="auto"/>
        <w:bottom w:val="none" w:sz="0" w:space="0" w:color="auto"/>
        <w:right w:val="none" w:sz="0" w:space="0" w:color="auto"/>
      </w:divBdr>
    </w:div>
    <w:div w:id="1473209464">
      <w:bodyDiv w:val="1"/>
      <w:marLeft w:val="0"/>
      <w:marRight w:val="0"/>
      <w:marTop w:val="0"/>
      <w:marBottom w:val="0"/>
      <w:divBdr>
        <w:top w:val="none" w:sz="0" w:space="0" w:color="auto"/>
        <w:left w:val="none" w:sz="0" w:space="0" w:color="auto"/>
        <w:bottom w:val="none" w:sz="0" w:space="0" w:color="auto"/>
        <w:right w:val="none" w:sz="0" w:space="0" w:color="auto"/>
      </w:divBdr>
    </w:div>
    <w:div w:id="1473597253">
      <w:bodyDiv w:val="1"/>
      <w:marLeft w:val="0"/>
      <w:marRight w:val="0"/>
      <w:marTop w:val="0"/>
      <w:marBottom w:val="0"/>
      <w:divBdr>
        <w:top w:val="none" w:sz="0" w:space="0" w:color="auto"/>
        <w:left w:val="none" w:sz="0" w:space="0" w:color="auto"/>
        <w:bottom w:val="none" w:sz="0" w:space="0" w:color="auto"/>
        <w:right w:val="none" w:sz="0" w:space="0" w:color="auto"/>
      </w:divBdr>
    </w:div>
    <w:div w:id="1473979875">
      <w:bodyDiv w:val="1"/>
      <w:marLeft w:val="0"/>
      <w:marRight w:val="0"/>
      <w:marTop w:val="0"/>
      <w:marBottom w:val="0"/>
      <w:divBdr>
        <w:top w:val="none" w:sz="0" w:space="0" w:color="auto"/>
        <w:left w:val="none" w:sz="0" w:space="0" w:color="auto"/>
        <w:bottom w:val="none" w:sz="0" w:space="0" w:color="auto"/>
        <w:right w:val="none" w:sz="0" w:space="0" w:color="auto"/>
      </w:divBdr>
    </w:div>
    <w:div w:id="1478575373">
      <w:bodyDiv w:val="1"/>
      <w:marLeft w:val="0"/>
      <w:marRight w:val="0"/>
      <w:marTop w:val="0"/>
      <w:marBottom w:val="0"/>
      <w:divBdr>
        <w:top w:val="none" w:sz="0" w:space="0" w:color="auto"/>
        <w:left w:val="none" w:sz="0" w:space="0" w:color="auto"/>
        <w:bottom w:val="none" w:sz="0" w:space="0" w:color="auto"/>
        <w:right w:val="none" w:sz="0" w:space="0" w:color="auto"/>
      </w:divBdr>
    </w:div>
    <w:div w:id="1481583069">
      <w:bodyDiv w:val="1"/>
      <w:marLeft w:val="0"/>
      <w:marRight w:val="0"/>
      <w:marTop w:val="0"/>
      <w:marBottom w:val="0"/>
      <w:divBdr>
        <w:top w:val="none" w:sz="0" w:space="0" w:color="auto"/>
        <w:left w:val="none" w:sz="0" w:space="0" w:color="auto"/>
        <w:bottom w:val="none" w:sz="0" w:space="0" w:color="auto"/>
        <w:right w:val="none" w:sz="0" w:space="0" w:color="auto"/>
      </w:divBdr>
    </w:div>
    <w:div w:id="1482386885">
      <w:bodyDiv w:val="1"/>
      <w:marLeft w:val="0"/>
      <w:marRight w:val="0"/>
      <w:marTop w:val="0"/>
      <w:marBottom w:val="0"/>
      <w:divBdr>
        <w:top w:val="none" w:sz="0" w:space="0" w:color="auto"/>
        <w:left w:val="none" w:sz="0" w:space="0" w:color="auto"/>
        <w:bottom w:val="none" w:sz="0" w:space="0" w:color="auto"/>
        <w:right w:val="none" w:sz="0" w:space="0" w:color="auto"/>
      </w:divBdr>
    </w:div>
    <w:div w:id="1489787635">
      <w:bodyDiv w:val="1"/>
      <w:marLeft w:val="0"/>
      <w:marRight w:val="0"/>
      <w:marTop w:val="0"/>
      <w:marBottom w:val="0"/>
      <w:divBdr>
        <w:top w:val="none" w:sz="0" w:space="0" w:color="auto"/>
        <w:left w:val="none" w:sz="0" w:space="0" w:color="auto"/>
        <w:bottom w:val="none" w:sz="0" w:space="0" w:color="auto"/>
        <w:right w:val="none" w:sz="0" w:space="0" w:color="auto"/>
      </w:divBdr>
    </w:div>
    <w:div w:id="1494642750">
      <w:bodyDiv w:val="1"/>
      <w:marLeft w:val="0"/>
      <w:marRight w:val="0"/>
      <w:marTop w:val="0"/>
      <w:marBottom w:val="0"/>
      <w:divBdr>
        <w:top w:val="none" w:sz="0" w:space="0" w:color="auto"/>
        <w:left w:val="none" w:sz="0" w:space="0" w:color="auto"/>
        <w:bottom w:val="none" w:sz="0" w:space="0" w:color="auto"/>
        <w:right w:val="none" w:sz="0" w:space="0" w:color="auto"/>
      </w:divBdr>
    </w:div>
    <w:div w:id="1495101691">
      <w:bodyDiv w:val="1"/>
      <w:marLeft w:val="0"/>
      <w:marRight w:val="0"/>
      <w:marTop w:val="0"/>
      <w:marBottom w:val="0"/>
      <w:divBdr>
        <w:top w:val="none" w:sz="0" w:space="0" w:color="auto"/>
        <w:left w:val="none" w:sz="0" w:space="0" w:color="auto"/>
        <w:bottom w:val="none" w:sz="0" w:space="0" w:color="auto"/>
        <w:right w:val="none" w:sz="0" w:space="0" w:color="auto"/>
      </w:divBdr>
    </w:div>
    <w:div w:id="1498617695">
      <w:bodyDiv w:val="1"/>
      <w:marLeft w:val="0"/>
      <w:marRight w:val="0"/>
      <w:marTop w:val="0"/>
      <w:marBottom w:val="0"/>
      <w:divBdr>
        <w:top w:val="none" w:sz="0" w:space="0" w:color="auto"/>
        <w:left w:val="none" w:sz="0" w:space="0" w:color="auto"/>
        <w:bottom w:val="none" w:sz="0" w:space="0" w:color="auto"/>
        <w:right w:val="none" w:sz="0" w:space="0" w:color="auto"/>
      </w:divBdr>
    </w:div>
    <w:div w:id="1505392013">
      <w:bodyDiv w:val="1"/>
      <w:marLeft w:val="0"/>
      <w:marRight w:val="0"/>
      <w:marTop w:val="0"/>
      <w:marBottom w:val="0"/>
      <w:divBdr>
        <w:top w:val="none" w:sz="0" w:space="0" w:color="auto"/>
        <w:left w:val="none" w:sz="0" w:space="0" w:color="auto"/>
        <w:bottom w:val="none" w:sz="0" w:space="0" w:color="auto"/>
        <w:right w:val="none" w:sz="0" w:space="0" w:color="auto"/>
      </w:divBdr>
    </w:div>
    <w:div w:id="1506553650">
      <w:bodyDiv w:val="1"/>
      <w:marLeft w:val="0"/>
      <w:marRight w:val="0"/>
      <w:marTop w:val="0"/>
      <w:marBottom w:val="0"/>
      <w:divBdr>
        <w:top w:val="none" w:sz="0" w:space="0" w:color="auto"/>
        <w:left w:val="none" w:sz="0" w:space="0" w:color="auto"/>
        <w:bottom w:val="none" w:sz="0" w:space="0" w:color="auto"/>
        <w:right w:val="none" w:sz="0" w:space="0" w:color="auto"/>
      </w:divBdr>
    </w:div>
    <w:div w:id="1515150996">
      <w:bodyDiv w:val="1"/>
      <w:marLeft w:val="0"/>
      <w:marRight w:val="0"/>
      <w:marTop w:val="0"/>
      <w:marBottom w:val="0"/>
      <w:divBdr>
        <w:top w:val="none" w:sz="0" w:space="0" w:color="auto"/>
        <w:left w:val="none" w:sz="0" w:space="0" w:color="auto"/>
        <w:bottom w:val="none" w:sz="0" w:space="0" w:color="auto"/>
        <w:right w:val="none" w:sz="0" w:space="0" w:color="auto"/>
      </w:divBdr>
    </w:div>
    <w:div w:id="1520461907">
      <w:bodyDiv w:val="1"/>
      <w:marLeft w:val="0"/>
      <w:marRight w:val="0"/>
      <w:marTop w:val="0"/>
      <w:marBottom w:val="0"/>
      <w:divBdr>
        <w:top w:val="none" w:sz="0" w:space="0" w:color="auto"/>
        <w:left w:val="none" w:sz="0" w:space="0" w:color="auto"/>
        <w:bottom w:val="none" w:sz="0" w:space="0" w:color="auto"/>
        <w:right w:val="none" w:sz="0" w:space="0" w:color="auto"/>
      </w:divBdr>
    </w:div>
    <w:div w:id="1520899352">
      <w:bodyDiv w:val="1"/>
      <w:marLeft w:val="0"/>
      <w:marRight w:val="0"/>
      <w:marTop w:val="0"/>
      <w:marBottom w:val="0"/>
      <w:divBdr>
        <w:top w:val="none" w:sz="0" w:space="0" w:color="auto"/>
        <w:left w:val="none" w:sz="0" w:space="0" w:color="auto"/>
        <w:bottom w:val="none" w:sz="0" w:space="0" w:color="auto"/>
        <w:right w:val="none" w:sz="0" w:space="0" w:color="auto"/>
      </w:divBdr>
    </w:div>
    <w:div w:id="1523206822">
      <w:bodyDiv w:val="1"/>
      <w:marLeft w:val="0"/>
      <w:marRight w:val="0"/>
      <w:marTop w:val="0"/>
      <w:marBottom w:val="0"/>
      <w:divBdr>
        <w:top w:val="none" w:sz="0" w:space="0" w:color="auto"/>
        <w:left w:val="none" w:sz="0" w:space="0" w:color="auto"/>
        <w:bottom w:val="none" w:sz="0" w:space="0" w:color="auto"/>
        <w:right w:val="none" w:sz="0" w:space="0" w:color="auto"/>
      </w:divBdr>
    </w:div>
    <w:div w:id="1523400080">
      <w:bodyDiv w:val="1"/>
      <w:marLeft w:val="0"/>
      <w:marRight w:val="0"/>
      <w:marTop w:val="0"/>
      <w:marBottom w:val="0"/>
      <w:divBdr>
        <w:top w:val="none" w:sz="0" w:space="0" w:color="auto"/>
        <w:left w:val="none" w:sz="0" w:space="0" w:color="auto"/>
        <w:bottom w:val="none" w:sz="0" w:space="0" w:color="auto"/>
        <w:right w:val="none" w:sz="0" w:space="0" w:color="auto"/>
      </w:divBdr>
    </w:div>
    <w:div w:id="1529562979">
      <w:bodyDiv w:val="1"/>
      <w:marLeft w:val="0"/>
      <w:marRight w:val="0"/>
      <w:marTop w:val="0"/>
      <w:marBottom w:val="0"/>
      <w:divBdr>
        <w:top w:val="none" w:sz="0" w:space="0" w:color="auto"/>
        <w:left w:val="none" w:sz="0" w:space="0" w:color="auto"/>
        <w:bottom w:val="none" w:sz="0" w:space="0" w:color="auto"/>
        <w:right w:val="none" w:sz="0" w:space="0" w:color="auto"/>
      </w:divBdr>
    </w:div>
    <w:div w:id="1530753781">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9317143">
      <w:bodyDiv w:val="1"/>
      <w:marLeft w:val="0"/>
      <w:marRight w:val="0"/>
      <w:marTop w:val="0"/>
      <w:marBottom w:val="0"/>
      <w:divBdr>
        <w:top w:val="none" w:sz="0" w:space="0" w:color="auto"/>
        <w:left w:val="none" w:sz="0" w:space="0" w:color="auto"/>
        <w:bottom w:val="none" w:sz="0" w:space="0" w:color="auto"/>
        <w:right w:val="none" w:sz="0" w:space="0" w:color="auto"/>
      </w:divBdr>
    </w:div>
    <w:div w:id="1539927362">
      <w:bodyDiv w:val="1"/>
      <w:marLeft w:val="0"/>
      <w:marRight w:val="0"/>
      <w:marTop w:val="0"/>
      <w:marBottom w:val="0"/>
      <w:divBdr>
        <w:top w:val="none" w:sz="0" w:space="0" w:color="auto"/>
        <w:left w:val="none" w:sz="0" w:space="0" w:color="auto"/>
        <w:bottom w:val="none" w:sz="0" w:space="0" w:color="auto"/>
        <w:right w:val="none" w:sz="0" w:space="0" w:color="auto"/>
      </w:divBdr>
    </w:div>
    <w:div w:id="1542472614">
      <w:bodyDiv w:val="1"/>
      <w:marLeft w:val="0"/>
      <w:marRight w:val="0"/>
      <w:marTop w:val="0"/>
      <w:marBottom w:val="0"/>
      <w:divBdr>
        <w:top w:val="none" w:sz="0" w:space="0" w:color="auto"/>
        <w:left w:val="none" w:sz="0" w:space="0" w:color="auto"/>
        <w:bottom w:val="none" w:sz="0" w:space="0" w:color="auto"/>
        <w:right w:val="none" w:sz="0" w:space="0" w:color="auto"/>
      </w:divBdr>
    </w:div>
    <w:div w:id="1545555297">
      <w:bodyDiv w:val="1"/>
      <w:marLeft w:val="0"/>
      <w:marRight w:val="0"/>
      <w:marTop w:val="0"/>
      <w:marBottom w:val="0"/>
      <w:divBdr>
        <w:top w:val="none" w:sz="0" w:space="0" w:color="auto"/>
        <w:left w:val="none" w:sz="0" w:space="0" w:color="auto"/>
        <w:bottom w:val="none" w:sz="0" w:space="0" w:color="auto"/>
        <w:right w:val="none" w:sz="0" w:space="0" w:color="auto"/>
      </w:divBdr>
    </w:div>
    <w:div w:id="1547645254">
      <w:bodyDiv w:val="1"/>
      <w:marLeft w:val="0"/>
      <w:marRight w:val="0"/>
      <w:marTop w:val="0"/>
      <w:marBottom w:val="0"/>
      <w:divBdr>
        <w:top w:val="none" w:sz="0" w:space="0" w:color="auto"/>
        <w:left w:val="none" w:sz="0" w:space="0" w:color="auto"/>
        <w:bottom w:val="none" w:sz="0" w:space="0" w:color="auto"/>
        <w:right w:val="none" w:sz="0" w:space="0" w:color="auto"/>
      </w:divBdr>
    </w:div>
    <w:div w:id="1551378901">
      <w:bodyDiv w:val="1"/>
      <w:marLeft w:val="0"/>
      <w:marRight w:val="0"/>
      <w:marTop w:val="0"/>
      <w:marBottom w:val="0"/>
      <w:divBdr>
        <w:top w:val="none" w:sz="0" w:space="0" w:color="auto"/>
        <w:left w:val="none" w:sz="0" w:space="0" w:color="auto"/>
        <w:bottom w:val="none" w:sz="0" w:space="0" w:color="auto"/>
        <w:right w:val="none" w:sz="0" w:space="0" w:color="auto"/>
      </w:divBdr>
    </w:div>
    <w:div w:id="1552956474">
      <w:bodyDiv w:val="1"/>
      <w:marLeft w:val="0"/>
      <w:marRight w:val="0"/>
      <w:marTop w:val="0"/>
      <w:marBottom w:val="0"/>
      <w:divBdr>
        <w:top w:val="none" w:sz="0" w:space="0" w:color="auto"/>
        <w:left w:val="none" w:sz="0" w:space="0" w:color="auto"/>
        <w:bottom w:val="none" w:sz="0" w:space="0" w:color="auto"/>
        <w:right w:val="none" w:sz="0" w:space="0" w:color="auto"/>
      </w:divBdr>
    </w:div>
    <w:div w:id="1555120106">
      <w:bodyDiv w:val="1"/>
      <w:marLeft w:val="0"/>
      <w:marRight w:val="0"/>
      <w:marTop w:val="0"/>
      <w:marBottom w:val="0"/>
      <w:divBdr>
        <w:top w:val="none" w:sz="0" w:space="0" w:color="auto"/>
        <w:left w:val="none" w:sz="0" w:space="0" w:color="auto"/>
        <w:bottom w:val="none" w:sz="0" w:space="0" w:color="auto"/>
        <w:right w:val="none" w:sz="0" w:space="0" w:color="auto"/>
      </w:divBdr>
    </w:div>
    <w:div w:id="1555189724">
      <w:bodyDiv w:val="1"/>
      <w:marLeft w:val="0"/>
      <w:marRight w:val="0"/>
      <w:marTop w:val="0"/>
      <w:marBottom w:val="0"/>
      <w:divBdr>
        <w:top w:val="none" w:sz="0" w:space="0" w:color="auto"/>
        <w:left w:val="none" w:sz="0" w:space="0" w:color="auto"/>
        <w:bottom w:val="none" w:sz="0" w:space="0" w:color="auto"/>
        <w:right w:val="none" w:sz="0" w:space="0" w:color="auto"/>
      </w:divBdr>
    </w:div>
    <w:div w:id="1564608109">
      <w:bodyDiv w:val="1"/>
      <w:marLeft w:val="0"/>
      <w:marRight w:val="0"/>
      <w:marTop w:val="0"/>
      <w:marBottom w:val="0"/>
      <w:divBdr>
        <w:top w:val="none" w:sz="0" w:space="0" w:color="auto"/>
        <w:left w:val="none" w:sz="0" w:space="0" w:color="auto"/>
        <w:bottom w:val="none" w:sz="0" w:space="0" w:color="auto"/>
        <w:right w:val="none" w:sz="0" w:space="0" w:color="auto"/>
      </w:divBdr>
    </w:div>
    <w:div w:id="1565067007">
      <w:bodyDiv w:val="1"/>
      <w:marLeft w:val="0"/>
      <w:marRight w:val="0"/>
      <w:marTop w:val="0"/>
      <w:marBottom w:val="0"/>
      <w:divBdr>
        <w:top w:val="none" w:sz="0" w:space="0" w:color="auto"/>
        <w:left w:val="none" w:sz="0" w:space="0" w:color="auto"/>
        <w:bottom w:val="none" w:sz="0" w:space="0" w:color="auto"/>
        <w:right w:val="none" w:sz="0" w:space="0" w:color="auto"/>
      </w:divBdr>
    </w:div>
    <w:div w:id="1569653983">
      <w:bodyDiv w:val="1"/>
      <w:marLeft w:val="0"/>
      <w:marRight w:val="0"/>
      <w:marTop w:val="0"/>
      <w:marBottom w:val="0"/>
      <w:divBdr>
        <w:top w:val="none" w:sz="0" w:space="0" w:color="auto"/>
        <w:left w:val="none" w:sz="0" w:space="0" w:color="auto"/>
        <w:bottom w:val="none" w:sz="0" w:space="0" w:color="auto"/>
        <w:right w:val="none" w:sz="0" w:space="0" w:color="auto"/>
      </w:divBdr>
    </w:div>
    <w:div w:id="1572423194">
      <w:bodyDiv w:val="1"/>
      <w:marLeft w:val="0"/>
      <w:marRight w:val="0"/>
      <w:marTop w:val="0"/>
      <w:marBottom w:val="0"/>
      <w:divBdr>
        <w:top w:val="none" w:sz="0" w:space="0" w:color="auto"/>
        <w:left w:val="none" w:sz="0" w:space="0" w:color="auto"/>
        <w:bottom w:val="none" w:sz="0" w:space="0" w:color="auto"/>
        <w:right w:val="none" w:sz="0" w:space="0" w:color="auto"/>
      </w:divBdr>
    </w:div>
    <w:div w:id="1575579922">
      <w:bodyDiv w:val="1"/>
      <w:marLeft w:val="0"/>
      <w:marRight w:val="0"/>
      <w:marTop w:val="0"/>
      <w:marBottom w:val="0"/>
      <w:divBdr>
        <w:top w:val="none" w:sz="0" w:space="0" w:color="auto"/>
        <w:left w:val="none" w:sz="0" w:space="0" w:color="auto"/>
        <w:bottom w:val="none" w:sz="0" w:space="0" w:color="auto"/>
        <w:right w:val="none" w:sz="0" w:space="0" w:color="auto"/>
      </w:divBdr>
    </w:div>
    <w:div w:id="1577519553">
      <w:bodyDiv w:val="1"/>
      <w:marLeft w:val="0"/>
      <w:marRight w:val="0"/>
      <w:marTop w:val="0"/>
      <w:marBottom w:val="0"/>
      <w:divBdr>
        <w:top w:val="none" w:sz="0" w:space="0" w:color="auto"/>
        <w:left w:val="none" w:sz="0" w:space="0" w:color="auto"/>
        <w:bottom w:val="none" w:sz="0" w:space="0" w:color="auto"/>
        <w:right w:val="none" w:sz="0" w:space="0" w:color="auto"/>
      </w:divBdr>
    </w:div>
    <w:div w:id="1584953180">
      <w:bodyDiv w:val="1"/>
      <w:marLeft w:val="0"/>
      <w:marRight w:val="0"/>
      <w:marTop w:val="0"/>
      <w:marBottom w:val="0"/>
      <w:divBdr>
        <w:top w:val="none" w:sz="0" w:space="0" w:color="auto"/>
        <w:left w:val="none" w:sz="0" w:space="0" w:color="auto"/>
        <w:bottom w:val="none" w:sz="0" w:space="0" w:color="auto"/>
        <w:right w:val="none" w:sz="0" w:space="0" w:color="auto"/>
      </w:divBdr>
    </w:div>
    <w:div w:id="1589581983">
      <w:bodyDiv w:val="1"/>
      <w:marLeft w:val="0"/>
      <w:marRight w:val="0"/>
      <w:marTop w:val="0"/>
      <w:marBottom w:val="0"/>
      <w:divBdr>
        <w:top w:val="none" w:sz="0" w:space="0" w:color="auto"/>
        <w:left w:val="none" w:sz="0" w:space="0" w:color="auto"/>
        <w:bottom w:val="none" w:sz="0" w:space="0" w:color="auto"/>
        <w:right w:val="none" w:sz="0" w:space="0" w:color="auto"/>
      </w:divBdr>
    </w:div>
    <w:div w:id="1593666983">
      <w:bodyDiv w:val="1"/>
      <w:marLeft w:val="0"/>
      <w:marRight w:val="0"/>
      <w:marTop w:val="0"/>
      <w:marBottom w:val="0"/>
      <w:divBdr>
        <w:top w:val="none" w:sz="0" w:space="0" w:color="auto"/>
        <w:left w:val="none" w:sz="0" w:space="0" w:color="auto"/>
        <w:bottom w:val="none" w:sz="0" w:space="0" w:color="auto"/>
        <w:right w:val="none" w:sz="0" w:space="0" w:color="auto"/>
      </w:divBdr>
    </w:div>
    <w:div w:id="1596160659">
      <w:bodyDiv w:val="1"/>
      <w:marLeft w:val="0"/>
      <w:marRight w:val="0"/>
      <w:marTop w:val="0"/>
      <w:marBottom w:val="0"/>
      <w:divBdr>
        <w:top w:val="none" w:sz="0" w:space="0" w:color="auto"/>
        <w:left w:val="none" w:sz="0" w:space="0" w:color="auto"/>
        <w:bottom w:val="none" w:sz="0" w:space="0" w:color="auto"/>
        <w:right w:val="none" w:sz="0" w:space="0" w:color="auto"/>
      </w:divBdr>
    </w:div>
    <w:div w:id="1598518841">
      <w:bodyDiv w:val="1"/>
      <w:marLeft w:val="0"/>
      <w:marRight w:val="0"/>
      <w:marTop w:val="0"/>
      <w:marBottom w:val="0"/>
      <w:divBdr>
        <w:top w:val="none" w:sz="0" w:space="0" w:color="auto"/>
        <w:left w:val="none" w:sz="0" w:space="0" w:color="auto"/>
        <w:bottom w:val="none" w:sz="0" w:space="0" w:color="auto"/>
        <w:right w:val="none" w:sz="0" w:space="0" w:color="auto"/>
      </w:divBdr>
    </w:div>
    <w:div w:id="1605110721">
      <w:bodyDiv w:val="1"/>
      <w:marLeft w:val="0"/>
      <w:marRight w:val="0"/>
      <w:marTop w:val="0"/>
      <w:marBottom w:val="0"/>
      <w:divBdr>
        <w:top w:val="none" w:sz="0" w:space="0" w:color="auto"/>
        <w:left w:val="none" w:sz="0" w:space="0" w:color="auto"/>
        <w:bottom w:val="none" w:sz="0" w:space="0" w:color="auto"/>
        <w:right w:val="none" w:sz="0" w:space="0" w:color="auto"/>
      </w:divBdr>
    </w:div>
    <w:div w:id="1614283031">
      <w:bodyDiv w:val="1"/>
      <w:marLeft w:val="0"/>
      <w:marRight w:val="0"/>
      <w:marTop w:val="0"/>
      <w:marBottom w:val="0"/>
      <w:divBdr>
        <w:top w:val="none" w:sz="0" w:space="0" w:color="auto"/>
        <w:left w:val="none" w:sz="0" w:space="0" w:color="auto"/>
        <w:bottom w:val="none" w:sz="0" w:space="0" w:color="auto"/>
        <w:right w:val="none" w:sz="0" w:space="0" w:color="auto"/>
      </w:divBdr>
    </w:div>
    <w:div w:id="1622030661">
      <w:bodyDiv w:val="1"/>
      <w:marLeft w:val="0"/>
      <w:marRight w:val="0"/>
      <w:marTop w:val="0"/>
      <w:marBottom w:val="0"/>
      <w:divBdr>
        <w:top w:val="none" w:sz="0" w:space="0" w:color="auto"/>
        <w:left w:val="none" w:sz="0" w:space="0" w:color="auto"/>
        <w:bottom w:val="none" w:sz="0" w:space="0" w:color="auto"/>
        <w:right w:val="none" w:sz="0" w:space="0" w:color="auto"/>
      </w:divBdr>
    </w:div>
    <w:div w:id="1623422608">
      <w:bodyDiv w:val="1"/>
      <w:marLeft w:val="0"/>
      <w:marRight w:val="0"/>
      <w:marTop w:val="0"/>
      <w:marBottom w:val="0"/>
      <w:divBdr>
        <w:top w:val="none" w:sz="0" w:space="0" w:color="auto"/>
        <w:left w:val="none" w:sz="0" w:space="0" w:color="auto"/>
        <w:bottom w:val="none" w:sz="0" w:space="0" w:color="auto"/>
        <w:right w:val="none" w:sz="0" w:space="0" w:color="auto"/>
      </w:divBdr>
    </w:div>
    <w:div w:id="1625577505">
      <w:bodyDiv w:val="1"/>
      <w:marLeft w:val="0"/>
      <w:marRight w:val="0"/>
      <w:marTop w:val="0"/>
      <w:marBottom w:val="0"/>
      <w:divBdr>
        <w:top w:val="none" w:sz="0" w:space="0" w:color="auto"/>
        <w:left w:val="none" w:sz="0" w:space="0" w:color="auto"/>
        <w:bottom w:val="none" w:sz="0" w:space="0" w:color="auto"/>
        <w:right w:val="none" w:sz="0" w:space="0" w:color="auto"/>
      </w:divBdr>
    </w:div>
    <w:div w:id="1627465612">
      <w:bodyDiv w:val="1"/>
      <w:marLeft w:val="0"/>
      <w:marRight w:val="0"/>
      <w:marTop w:val="0"/>
      <w:marBottom w:val="0"/>
      <w:divBdr>
        <w:top w:val="none" w:sz="0" w:space="0" w:color="auto"/>
        <w:left w:val="none" w:sz="0" w:space="0" w:color="auto"/>
        <w:bottom w:val="none" w:sz="0" w:space="0" w:color="auto"/>
        <w:right w:val="none" w:sz="0" w:space="0" w:color="auto"/>
      </w:divBdr>
    </w:div>
    <w:div w:id="1628051911">
      <w:bodyDiv w:val="1"/>
      <w:marLeft w:val="0"/>
      <w:marRight w:val="0"/>
      <w:marTop w:val="0"/>
      <w:marBottom w:val="0"/>
      <w:divBdr>
        <w:top w:val="none" w:sz="0" w:space="0" w:color="auto"/>
        <w:left w:val="none" w:sz="0" w:space="0" w:color="auto"/>
        <w:bottom w:val="none" w:sz="0" w:space="0" w:color="auto"/>
        <w:right w:val="none" w:sz="0" w:space="0" w:color="auto"/>
      </w:divBdr>
    </w:div>
    <w:div w:id="1632133029">
      <w:bodyDiv w:val="1"/>
      <w:marLeft w:val="0"/>
      <w:marRight w:val="0"/>
      <w:marTop w:val="0"/>
      <w:marBottom w:val="0"/>
      <w:divBdr>
        <w:top w:val="none" w:sz="0" w:space="0" w:color="auto"/>
        <w:left w:val="none" w:sz="0" w:space="0" w:color="auto"/>
        <w:bottom w:val="none" w:sz="0" w:space="0" w:color="auto"/>
        <w:right w:val="none" w:sz="0" w:space="0" w:color="auto"/>
      </w:divBdr>
    </w:div>
    <w:div w:id="1649894662">
      <w:bodyDiv w:val="1"/>
      <w:marLeft w:val="0"/>
      <w:marRight w:val="0"/>
      <w:marTop w:val="0"/>
      <w:marBottom w:val="0"/>
      <w:divBdr>
        <w:top w:val="none" w:sz="0" w:space="0" w:color="auto"/>
        <w:left w:val="none" w:sz="0" w:space="0" w:color="auto"/>
        <w:bottom w:val="none" w:sz="0" w:space="0" w:color="auto"/>
        <w:right w:val="none" w:sz="0" w:space="0" w:color="auto"/>
      </w:divBdr>
    </w:div>
    <w:div w:id="1654917400">
      <w:bodyDiv w:val="1"/>
      <w:marLeft w:val="0"/>
      <w:marRight w:val="0"/>
      <w:marTop w:val="0"/>
      <w:marBottom w:val="0"/>
      <w:divBdr>
        <w:top w:val="none" w:sz="0" w:space="0" w:color="auto"/>
        <w:left w:val="none" w:sz="0" w:space="0" w:color="auto"/>
        <w:bottom w:val="none" w:sz="0" w:space="0" w:color="auto"/>
        <w:right w:val="none" w:sz="0" w:space="0" w:color="auto"/>
      </w:divBdr>
    </w:div>
    <w:div w:id="1656572392">
      <w:bodyDiv w:val="1"/>
      <w:marLeft w:val="0"/>
      <w:marRight w:val="0"/>
      <w:marTop w:val="0"/>
      <w:marBottom w:val="0"/>
      <w:divBdr>
        <w:top w:val="none" w:sz="0" w:space="0" w:color="auto"/>
        <w:left w:val="none" w:sz="0" w:space="0" w:color="auto"/>
        <w:bottom w:val="none" w:sz="0" w:space="0" w:color="auto"/>
        <w:right w:val="none" w:sz="0" w:space="0" w:color="auto"/>
      </w:divBdr>
    </w:div>
    <w:div w:id="1662807741">
      <w:bodyDiv w:val="1"/>
      <w:marLeft w:val="0"/>
      <w:marRight w:val="0"/>
      <w:marTop w:val="0"/>
      <w:marBottom w:val="0"/>
      <w:divBdr>
        <w:top w:val="none" w:sz="0" w:space="0" w:color="auto"/>
        <w:left w:val="none" w:sz="0" w:space="0" w:color="auto"/>
        <w:bottom w:val="none" w:sz="0" w:space="0" w:color="auto"/>
        <w:right w:val="none" w:sz="0" w:space="0" w:color="auto"/>
      </w:divBdr>
    </w:div>
    <w:div w:id="1663047718">
      <w:bodyDiv w:val="1"/>
      <w:marLeft w:val="0"/>
      <w:marRight w:val="0"/>
      <w:marTop w:val="0"/>
      <w:marBottom w:val="0"/>
      <w:divBdr>
        <w:top w:val="none" w:sz="0" w:space="0" w:color="auto"/>
        <w:left w:val="none" w:sz="0" w:space="0" w:color="auto"/>
        <w:bottom w:val="none" w:sz="0" w:space="0" w:color="auto"/>
        <w:right w:val="none" w:sz="0" w:space="0" w:color="auto"/>
      </w:divBdr>
    </w:div>
    <w:div w:id="1663967088">
      <w:bodyDiv w:val="1"/>
      <w:marLeft w:val="0"/>
      <w:marRight w:val="0"/>
      <w:marTop w:val="0"/>
      <w:marBottom w:val="0"/>
      <w:divBdr>
        <w:top w:val="none" w:sz="0" w:space="0" w:color="auto"/>
        <w:left w:val="none" w:sz="0" w:space="0" w:color="auto"/>
        <w:bottom w:val="none" w:sz="0" w:space="0" w:color="auto"/>
        <w:right w:val="none" w:sz="0" w:space="0" w:color="auto"/>
      </w:divBdr>
    </w:div>
    <w:div w:id="1670282192">
      <w:bodyDiv w:val="1"/>
      <w:marLeft w:val="0"/>
      <w:marRight w:val="0"/>
      <w:marTop w:val="0"/>
      <w:marBottom w:val="0"/>
      <w:divBdr>
        <w:top w:val="none" w:sz="0" w:space="0" w:color="auto"/>
        <w:left w:val="none" w:sz="0" w:space="0" w:color="auto"/>
        <w:bottom w:val="none" w:sz="0" w:space="0" w:color="auto"/>
        <w:right w:val="none" w:sz="0" w:space="0" w:color="auto"/>
      </w:divBdr>
    </w:div>
    <w:div w:id="1674262390">
      <w:bodyDiv w:val="1"/>
      <w:marLeft w:val="0"/>
      <w:marRight w:val="0"/>
      <w:marTop w:val="0"/>
      <w:marBottom w:val="0"/>
      <w:divBdr>
        <w:top w:val="none" w:sz="0" w:space="0" w:color="auto"/>
        <w:left w:val="none" w:sz="0" w:space="0" w:color="auto"/>
        <w:bottom w:val="none" w:sz="0" w:space="0" w:color="auto"/>
        <w:right w:val="none" w:sz="0" w:space="0" w:color="auto"/>
      </w:divBdr>
    </w:div>
    <w:div w:id="1678463960">
      <w:bodyDiv w:val="1"/>
      <w:marLeft w:val="0"/>
      <w:marRight w:val="0"/>
      <w:marTop w:val="0"/>
      <w:marBottom w:val="0"/>
      <w:divBdr>
        <w:top w:val="none" w:sz="0" w:space="0" w:color="auto"/>
        <w:left w:val="none" w:sz="0" w:space="0" w:color="auto"/>
        <w:bottom w:val="none" w:sz="0" w:space="0" w:color="auto"/>
        <w:right w:val="none" w:sz="0" w:space="0" w:color="auto"/>
      </w:divBdr>
    </w:div>
    <w:div w:id="1678732456">
      <w:bodyDiv w:val="1"/>
      <w:marLeft w:val="0"/>
      <w:marRight w:val="0"/>
      <w:marTop w:val="0"/>
      <w:marBottom w:val="0"/>
      <w:divBdr>
        <w:top w:val="none" w:sz="0" w:space="0" w:color="auto"/>
        <w:left w:val="none" w:sz="0" w:space="0" w:color="auto"/>
        <w:bottom w:val="none" w:sz="0" w:space="0" w:color="auto"/>
        <w:right w:val="none" w:sz="0" w:space="0" w:color="auto"/>
      </w:divBdr>
    </w:div>
    <w:div w:id="1687250149">
      <w:bodyDiv w:val="1"/>
      <w:marLeft w:val="0"/>
      <w:marRight w:val="0"/>
      <w:marTop w:val="0"/>
      <w:marBottom w:val="0"/>
      <w:divBdr>
        <w:top w:val="none" w:sz="0" w:space="0" w:color="auto"/>
        <w:left w:val="none" w:sz="0" w:space="0" w:color="auto"/>
        <w:bottom w:val="none" w:sz="0" w:space="0" w:color="auto"/>
        <w:right w:val="none" w:sz="0" w:space="0" w:color="auto"/>
      </w:divBdr>
    </w:div>
    <w:div w:id="1695036284">
      <w:bodyDiv w:val="1"/>
      <w:marLeft w:val="0"/>
      <w:marRight w:val="0"/>
      <w:marTop w:val="0"/>
      <w:marBottom w:val="0"/>
      <w:divBdr>
        <w:top w:val="none" w:sz="0" w:space="0" w:color="auto"/>
        <w:left w:val="none" w:sz="0" w:space="0" w:color="auto"/>
        <w:bottom w:val="none" w:sz="0" w:space="0" w:color="auto"/>
        <w:right w:val="none" w:sz="0" w:space="0" w:color="auto"/>
      </w:divBdr>
    </w:div>
    <w:div w:id="1700734838">
      <w:bodyDiv w:val="1"/>
      <w:marLeft w:val="0"/>
      <w:marRight w:val="0"/>
      <w:marTop w:val="0"/>
      <w:marBottom w:val="0"/>
      <w:divBdr>
        <w:top w:val="none" w:sz="0" w:space="0" w:color="auto"/>
        <w:left w:val="none" w:sz="0" w:space="0" w:color="auto"/>
        <w:bottom w:val="none" w:sz="0" w:space="0" w:color="auto"/>
        <w:right w:val="none" w:sz="0" w:space="0" w:color="auto"/>
      </w:divBdr>
    </w:div>
    <w:div w:id="1706442863">
      <w:bodyDiv w:val="1"/>
      <w:marLeft w:val="0"/>
      <w:marRight w:val="0"/>
      <w:marTop w:val="0"/>
      <w:marBottom w:val="0"/>
      <w:divBdr>
        <w:top w:val="none" w:sz="0" w:space="0" w:color="auto"/>
        <w:left w:val="none" w:sz="0" w:space="0" w:color="auto"/>
        <w:bottom w:val="none" w:sz="0" w:space="0" w:color="auto"/>
        <w:right w:val="none" w:sz="0" w:space="0" w:color="auto"/>
      </w:divBdr>
    </w:div>
    <w:div w:id="1708215359">
      <w:bodyDiv w:val="1"/>
      <w:marLeft w:val="0"/>
      <w:marRight w:val="0"/>
      <w:marTop w:val="0"/>
      <w:marBottom w:val="0"/>
      <w:divBdr>
        <w:top w:val="none" w:sz="0" w:space="0" w:color="auto"/>
        <w:left w:val="none" w:sz="0" w:space="0" w:color="auto"/>
        <w:bottom w:val="none" w:sz="0" w:space="0" w:color="auto"/>
        <w:right w:val="none" w:sz="0" w:space="0" w:color="auto"/>
      </w:divBdr>
    </w:div>
    <w:div w:id="1708723779">
      <w:bodyDiv w:val="1"/>
      <w:marLeft w:val="0"/>
      <w:marRight w:val="0"/>
      <w:marTop w:val="0"/>
      <w:marBottom w:val="0"/>
      <w:divBdr>
        <w:top w:val="none" w:sz="0" w:space="0" w:color="auto"/>
        <w:left w:val="none" w:sz="0" w:space="0" w:color="auto"/>
        <w:bottom w:val="none" w:sz="0" w:space="0" w:color="auto"/>
        <w:right w:val="none" w:sz="0" w:space="0" w:color="auto"/>
      </w:divBdr>
    </w:div>
    <w:div w:id="1709603163">
      <w:bodyDiv w:val="1"/>
      <w:marLeft w:val="0"/>
      <w:marRight w:val="0"/>
      <w:marTop w:val="0"/>
      <w:marBottom w:val="0"/>
      <w:divBdr>
        <w:top w:val="none" w:sz="0" w:space="0" w:color="auto"/>
        <w:left w:val="none" w:sz="0" w:space="0" w:color="auto"/>
        <w:bottom w:val="none" w:sz="0" w:space="0" w:color="auto"/>
        <w:right w:val="none" w:sz="0" w:space="0" w:color="auto"/>
      </w:divBdr>
    </w:div>
    <w:div w:id="1710953105">
      <w:bodyDiv w:val="1"/>
      <w:marLeft w:val="0"/>
      <w:marRight w:val="0"/>
      <w:marTop w:val="0"/>
      <w:marBottom w:val="0"/>
      <w:divBdr>
        <w:top w:val="none" w:sz="0" w:space="0" w:color="auto"/>
        <w:left w:val="none" w:sz="0" w:space="0" w:color="auto"/>
        <w:bottom w:val="none" w:sz="0" w:space="0" w:color="auto"/>
        <w:right w:val="none" w:sz="0" w:space="0" w:color="auto"/>
      </w:divBdr>
    </w:div>
    <w:div w:id="1720937969">
      <w:bodyDiv w:val="1"/>
      <w:marLeft w:val="0"/>
      <w:marRight w:val="0"/>
      <w:marTop w:val="0"/>
      <w:marBottom w:val="0"/>
      <w:divBdr>
        <w:top w:val="none" w:sz="0" w:space="0" w:color="auto"/>
        <w:left w:val="none" w:sz="0" w:space="0" w:color="auto"/>
        <w:bottom w:val="none" w:sz="0" w:space="0" w:color="auto"/>
        <w:right w:val="none" w:sz="0" w:space="0" w:color="auto"/>
      </w:divBdr>
    </w:div>
    <w:div w:id="1721249366">
      <w:bodyDiv w:val="1"/>
      <w:marLeft w:val="0"/>
      <w:marRight w:val="0"/>
      <w:marTop w:val="0"/>
      <w:marBottom w:val="0"/>
      <w:divBdr>
        <w:top w:val="none" w:sz="0" w:space="0" w:color="auto"/>
        <w:left w:val="none" w:sz="0" w:space="0" w:color="auto"/>
        <w:bottom w:val="none" w:sz="0" w:space="0" w:color="auto"/>
        <w:right w:val="none" w:sz="0" w:space="0" w:color="auto"/>
      </w:divBdr>
    </w:div>
    <w:div w:id="1724060845">
      <w:bodyDiv w:val="1"/>
      <w:marLeft w:val="0"/>
      <w:marRight w:val="0"/>
      <w:marTop w:val="0"/>
      <w:marBottom w:val="0"/>
      <w:divBdr>
        <w:top w:val="none" w:sz="0" w:space="0" w:color="auto"/>
        <w:left w:val="none" w:sz="0" w:space="0" w:color="auto"/>
        <w:bottom w:val="none" w:sz="0" w:space="0" w:color="auto"/>
        <w:right w:val="none" w:sz="0" w:space="0" w:color="auto"/>
      </w:divBdr>
    </w:div>
    <w:div w:id="1724257895">
      <w:bodyDiv w:val="1"/>
      <w:marLeft w:val="0"/>
      <w:marRight w:val="0"/>
      <w:marTop w:val="0"/>
      <w:marBottom w:val="0"/>
      <w:divBdr>
        <w:top w:val="none" w:sz="0" w:space="0" w:color="auto"/>
        <w:left w:val="none" w:sz="0" w:space="0" w:color="auto"/>
        <w:bottom w:val="none" w:sz="0" w:space="0" w:color="auto"/>
        <w:right w:val="none" w:sz="0" w:space="0" w:color="auto"/>
      </w:divBdr>
    </w:div>
    <w:div w:id="1724331429">
      <w:bodyDiv w:val="1"/>
      <w:marLeft w:val="0"/>
      <w:marRight w:val="0"/>
      <w:marTop w:val="0"/>
      <w:marBottom w:val="0"/>
      <w:divBdr>
        <w:top w:val="none" w:sz="0" w:space="0" w:color="auto"/>
        <w:left w:val="none" w:sz="0" w:space="0" w:color="auto"/>
        <w:bottom w:val="none" w:sz="0" w:space="0" w:color="auto"/>
        <w:right w:val="none" w:sz="0" w:space="0" w:color="auto"/>
      </w:divBdr>
    </w:div>
    <w:div w:id="1724675745">
      <w:bodyDiv w:val="1"/>
      <w:marLeft w:val="0"/>
      <w:marRight w:val="0"/>
      <w:marTop w:val="0"/>
      <w:marBottom w:val="0"/>
      <w:divBdr>
        <w:top w:val="none" w:sz="0" w:space="0" w:color="auto"/>
        <w:left w:val="none" w:sz="0" w:space="0" w:color="auto"/>
        <w:bottom w:val="none" w:sz="0" w:space="0" w:color="auto"/>
        <w:right w:val="none" w:sz="0" w:space="0" w:color="auto"/>
      </w:divBdr>
    </w:div>
    <w:div w:id="1728606322">
      <w:bodyDiv w:val="1"/>
      <w:marLeft w:val="0"/>
      <w:marRight w:val="0"/>
      <w:marTop w:val="0"/>
      <w:marBottom w:val="0"/>
      <w:divBdr>
        <w:top w:val="none" w:sz="0" w:space="0" w:color="auto"/>
        <w:left w:val="none" w:sz="0" w:space="0" w:color="auto"/>
        <w:bottom w:val="none" w:sz="0" w:space="0" w:color="auto"/>
        <w:right w:val="none" w:sz="0" w:space="0" w:color="auto"/>
      </w:divBdr>
    </w:div>
    <w:div w:id="1732269655">
      <w:bodyDiv w:val="1"/>
      <w:marLeft w:val="0"/>
      <w:marRight w:val="0"/>
      <w:marTop w:val="0"/>
      <w:marBottom w:val="0"/>
      <w:divBdr>
        <w:top w:val="none" w:sz="0" w:space="0" w:color="auto"/>
        <w:left w:val="none" w:sz="0" w:space="0" w:color="auto"/>
        <w:bottom w:val="none" w:sz="0" w:space="0" w:color="auto"/>
        <w:right w:val="none" w:sz="0" w:space="0" w:color="auto"/>
      </w:divBdr>
    </w:div>
    <w:div w:id="1743789856">
      <w:bodyDiv w:val="1"/>
      <w:marLeft w:val="0"/>
      <w:marRight w:val="0"/>
      <w:marTop w:val="0"/>
      <w:marBottom w:val="0"/>
      <w:divBdr>
        <w:top w:val="none" w:sz="0" w:space="0" w:color="auto"/>
        <w:left w:val="none" w:sz="0" w:space="0" w:color="auto"/>
        <w:bottom w:val="none" w:sz="0" w:space="0" w:color="auto"/>
        <w:right w:val="none" w:sz="0" w:space="0" w:color="auto"/>
      </w:divBdr>
      <w:divsChild>
        <w:div w:id="119689728">
          <w:marLeft w:val="0"/>
          <w:marRight w:val="0"/>
          <w:marTop w:val="0"/>
          <w:marBottom w:val="0"/>
          <w:divBdr>
            <w:top w:val="none" w:sz="0" w:space="0" w:color="auto"/>
            <w:left w:val="none" w:sz="0" w:space="0" w:color="auto"/>
            <w:bottom w:val="none" w:sz="0" w:space="0" w:color="auto"/>
            <w:right w:val="none" w:sz="0" w:space="0" w:color="auto"/>
          </w:divBdr>
          <w:divsChild>
            <w:div w:id="1680888114">
              <w:marLeft w:val="0"/>
              <w:marRight w:val="0"/>
              <w:marTop w:val="0"/>
              <w:marBottom w:val="0"/>
              <w:divBdr>
                <w:top w:val="none" w:sz="0" w:space="0" w:color="auto"/>
                <w:left w:val="none" w:sz="0" w:space="0" w:color="auto"/>
                <w:bottom w:val="none" w:sz="0" w:space="0" w:color="auto"/>
                <w:right w:val="none" w:sz="0" w:space="0" w:color="auto"/>
              </w:divBdr>
            </w:div>
          </w:divsChild>
        </w:div>
        <w:div w:id="133261624">
          <w:marLeft w:val="0"/>
          <w:marRight w:val="0"/>
          <w:marTop w:val="0"/>
          <w:marBottom w:val="0"/>
          <w:divBdr>
            <w:top w:val="none" w:sz="0" w:space="0" w:color="auto"/>
            <w:left w:val="none" w:sz="0" w:space="0" w:color="auto"/>
            <w:bottom w:val="none" w:sz="0" w:space="0" w:color="auto"/>
            <w:right w:val="none" w:sz="0" w:space="0" w:color="auto"/>
          </w:divBdr>
          <w:divsChild>
            <w:div w:id="1018196600">
              <w:marLeft w:val="0"/>
              <w:marRight w:val="0"/>
              <w:marTop w:val="0"/>
              <w:marBottom w:val="0"/>
              <w:divBdr>
                <w:top w:val="none" w:sz="0" w:space="0" w:color="auto"/>
                <w:left w:val="none" w:sz="0" w:space="0" w:color="auto"/>
                <w:bottom w:val="none" w:sz="0" w:space="0" w:color="auto"/>
                <w:right w:val="none" w:sz="0" w:space="0" w:color="auto"/>
              </w:divBdr>
            </w:div>
          </w:divsChild>
        </w:div>
        <w:div w:id="343094282">
          <w:marLeft w:val="0"/>
          <w:marRight w:val="0"/>
          <w:marTop w:val="0"/>
          <w:marBottom w:val="0"/>
          <w:divBdr>
            <w:top w:val="none" w:sz="0" w:space="0" w:color="auto"/>
            <w:left w:val="none" w:sz="0" w:space="0" w:color="auto"/>
            <w:bottom w:val="none" w:sz="0" w:space="0" w:color="auto"/>
            <w:right w:val="none" w:sz="0" w:space="0" w:color="auto"/>
          </w:divBdr>
          <w:divsChild>
            <w:div w:id="2006321046">
              <w:marLeft w:val="0"/>
              <w:marRight w:val="0"/>
              <w:marTop w:val="0"/>
              <w:marBottom w:val="0"/>
              <w:divBdr>
                <w:top w:val="none" w:sz="0" w:space="0" w:color="auto"/>
                <w:left w:val="none" w:sz="0" w:space="0" w:color="auto"/>
                <w:bottom w:val="none" w:sz="0" w:space="0" w:color="auto"/>
                <w:right w:val="none" w:sz="0" w:space="0" w:color="auto"/>
              </w:divBdr>
            </w:div>
            <w:div w:id="2095737773">
              <w:marLeft w:val="0"/>
              <w:marRight w:val="0"/>
              <w:marTop w:val="0"/>
              <w:marBottom w:val="0"/>
              <w:divBdr>
                <w:top w:val="none" w:sz="0" w:space="0" w:color="auto"/>
                <w:left w:val="none" w:sz="0" w:space="0" w:color="auto"/>
                <w:bottom w:val="none" w:sz="0" w:space="0" w:color="auto"/>
                <w:right w:val="none" w:sz="0" w:space="0" w:color="auto"/>
              </w:divBdr>
            </w:div>
          </w:divsChild>
        </w:div>
        <w:div w:id="459109357">
          <w:marLeft w:val="0"/>
          <w:marRight w:val="0"/>
          <w:marTop w:val="0"/>
          <w:marBottom w:val="0"/>
          <w:divBdr>
            <w:top w:val="none" w:sz="0" w:space="0" w:color="auto"/>
            <w:left w:val="none" w:sz="0" w:space="0" w:color="auto"/>
            <w:bottom w:val="none" w:sz="0" w:space="0" w:color="auto"/>
            <w:right w:val="none" w:sz="0" w:space="0" w:color="auto"/>
          </w:divBdr>
          <w:divsChild>
            <w:div w:id="991182266">
              <w:marLeft w:val="0"/>
              <w:marRight w:val="0"/>
              <w:marTop w:val="0"/>
              <w:marBottom w:val="0"/>
              <w:divBdr>
                <w:top w:val="none" w:sz="0" w:space="0" w:color="auto"/>
                <w:left w:val="none" w:sz="0" w:space="0" w:color="auto"/>
                <w:bottom w:val="none" w:sz="0" w:space="0" w:color="auto"/>
                <w:right w:val="none" w:sz="0" w:space="0" w:color="auto"/>
              </w:divBdr>
            </w:div>
          </w:divsChild>
        </w:div>
        <w:div w:id="478695278">
          <w:marLeft w:val="0"/>
          <w:marRight w:val="0"/>
          <w:marTop w:val="0"/>
          <w:marBottom w:val="0"/>
          <w:divBdr>
            <w:top w:val="none" w:sz="0" w:space="0" w:color="auto"/>
            <w:left w:val="none" w:sz="0" w:space="0" w:color="auto"/>
            <w:bottom w:val="none" w:sz="0" w:space="0" w:color="auto"/>
            <w:right w:val="none" w:sz="0" w:space="0" w:color="auto"/>
          </w:divBdr>
          <w:divsChild>
            <w:div w:id="12345111">
              <w:marLeft w:val="0"/>
              <w:marRight w:val="0"/>
              <w:marTop w:val="0"/>
              <w:marBottom w:val="0"/>
              <w:divBdr>
                <w:top w:val="none" w:sz="0" w:space="0" w:color="auto"/>
                <w:left w:val="none" w:sz="0" w:space="0" w:color="auto"/>
                <w:bottom w:val="none" w:sz="0" w:space="0" w:color="auto"/>
                <w:right w:val="none" w:sz="0" w:space="0" w:color="auto"/>
              </w:divBdr>
            </w:div>
            <w:div w:id="706949888">
              <w:marLeft w:val="0"/>
              <w:marRight w:val="0"/>
              <w:marTop w:val="0"/>
              <w:marBottom w:val="0"/>
              <w:divBdr>
                <w:top w:val="none" w:sz="0" w:space="0" w:color="auto"/>
                <w:left w:val="none" w:sz="0" w:space="0" w:color="auto"/>
                <w:bottom w:val="none" w:sz="0" w:space="0" w:color="auto"/>
                <w:right w:val="none" w:sz="0" w:space="0" w:color="auto"/>
              </w:divBdr>
            </w:div>
          </w:divsChild>
        </w:div>
        <w:div w:id="694118855">
          <w:marLeft w:val="0"/>
          <w:marRight w:val="0"/>
          <w:marTop w:val="0"/>
          <w:marBottom w:val="0"/>
          <w:divBdr>
            <w:top w:val="none" w:sz="0" w:space="0" w:color="auto"/>
            <w:left w:val="none" w:sz="0" w:space="0" w:color="auto"/>
            <w:bottom w:val="none" w:sz="0" w:space="0" w:color="auto"/>
            <w:right w:val="none" w:sz="0" w:space="0" w:color="auto"/>
          </w:divBdr>
          <w:divsChild>
            <w:div w:id="1464349549">
              <w:marLeft w:val="0"/>
              <w:marRight w:val="0"/>
              <w:marTop w:val="0"/>
              <w:marBottom w:val="0"/>
              <w:divBdr>
                <w:top w:val="none" w:sz="0" w:space="0" w:color="auto"/>
                <w:left w:val="none" w:sz="0" w:space="0" w:color="auto"/>
                <w:bottom w:val="none" w:sz="0" w:space="0" w:color="auto"/>
                <w:right w:val="none" w:sz="0" w:space="0" w:color="auto"/>
              </w:divBdr>
            </w:div>
            <w:div w:id="1640841670">
              <w:marLeft w:val="0"/>
              <w:marRight w:val="0"/>
              <w:marTop w:val="0"/>
              <w:marBottom w:val="0"/>
              <w:divBdr>
                <w:top w:val="none" w:sz="0" w:space="0" w:color="auto"/>
                <w:left w:val="none" w:sz="0" w:space="0" w:color="auto"/>
                <w:bottom w:val="none" w:sz="0" w:space="0" w:color="auto"/>
                <w:right w:val="none" w:sz="0" w:space="0" w:color="auto"/>
              </w:divBdr>
            </w:div>
            <w:div w:id="1778404375">
              <w:marLeft w:val="0"/>
              <w:marRight w:val="0"/>
              <w:marTop w:val="0"/>
              <w:marBottom w:val="0"/>
              <w:divBdr>
                <w:top w:val="none" w:sz="0" w:space="0" w:color="auto"/>
                <w:left w:val="none" w:sz="0" w:space="0" w:color="auto"/>
                <w:bottom w:val="none" w:sz="0" w:space="0" w:color="auto"/>
                <w:right w:val="none" w:sz="0" w:space="0" w:color="auto"/>
              </w:divBdr>
            </w:div>
          </w:divsChild>
        </w:div>
        <w:div w:id="970281406">
          <w:marLeft w:val="0"/>
          <w:marRight w:val="0"/>
          <w:marTop w:val="0"/>
          <w:marBottom w:val="0"/>
          <w:divBdr>
            <w:top w:val="none" w:sz="0" w:space="0" w:color="auto"/>
            <w:left w:val="none" w:sz="0" w:space="0" w:color="auto"/>
            <w:bottom w:val="none" w:sz="0" w:space="0" w:color="auto"/>
            <w:right w:val="none" w:sz="0" w:space="0" w:color="auto"/>
          </w:divBdr>
          <w:divsChild>
            <w:div w:id="607589159">
              <w:marLeft w:val="0"/>
              <w:marRight w:val="0"/>
              <w:marTop w:val="0"/>
              <w:marBottom w:val="0"/>
              <w:divBdr>
                <w:top w:val="none" w:sz="0" w:space="0" w:color="auto"/>
                <w:left w:val="none" w:sz="0" w:space="0" w:color="auto"/>
                <w:bottom w:val="none" w:sz="0" w:space="0" w:color="auto"/>
                <w:right w:val="none" w:sz="0" w:space="0" w:color="auto"/>
              </w:divBdr>
            </w:div>
          </w:divsChild>
        </w:div>
        <w:div w:id="997459106">
          <w:marLeft w:val="0"/>
          <w:marRight w:val="0"/>
          <w:marTop w:val="0"/>
          <w:marBottom w:val="0"/>
          <w:divBdr>
            <w:top w:val="none" w:sz="0" w:space="0" w:color="auto"/>
            <w:left w:val="none" w:sz="0" w:space="0" w:color="auto"/>
            <w:bottom w:val="none" w:sz="0" w:space="0" w:color="auto"/>
            <w:right w:val="none" w:sz="0" w:space="0" w:color="auto"/>
          </w:divBdr>
          <w:divsChild>
            <w:div w:id="515579170">
              <w:marLeft w:val="0"/>
              <w:marRight w:val="0"/>
              <w:marTop w:val="0"/>
              <w:marBottom w:val="0"/>
              <w:divBdr>
                <w:top w:val="none" w:sz="0" w:space="0" w:color="auto"/>
                <w:left w:val="none" w:sz="0" w:space="0" w:color="auto"/>
                <w:bottom w:val="none" w:sz="0" w:space="0" w:color="auto"/>
                <w:right w:val="none" w:sz="0" w:space="0" w:color="auto"/>
              </w:divBdr>
            </w:div>
          </w:divsChild>
        </w:div>
        <w:div w:id="1218857156">
          <w:marLeft w:val="0"/>
          <w:marRight w:val="0"/>
          <w:marTop w:val="0"/>
          <w:marBottom w:val="0"/>
          <w:divBdr>
            <w:top w:val="none" w:sz="0" w:space="0" w:color="auto"/>
            <w:left w:val="none" w:sz="0" w:space="0" w:color="auto"/>
            <w:bottom w:val="none" w:sz="0" w:space="0" w:color="auto"/>
            <w:right w:val="none" w:sz="0" w:space="0" w:color="auto"/>
          </w:divBdr>
          <w:divsChild>
            <w:div w:id="789973335">
              <w:marLeft w:val="0"/>
              <w:marRight w:val="0"/>
              <w:marTop w:val="0"/>
              <w:marBottom w:val="0"/>
              <w:divBdr>
                <w:top w:val="none" w:sz="0" w:space="0" w:color="auto"/>
                <w:left w:val="none" w:sz="0" w:space="0" w:color="auto"/>
                <w:bottom w:val="none" w:sz="0" w:space="0" w:color="auto"/>
                <w:right w:val="none" w:sz="0" w:space="0" w:color="auto"/>
              </w:divBdr>
            </w:div>
          </w:divsChild>
        </w:div>
        <w:div w:id="1299873403">
          <w:marLeft w:val="0"/>
          <w:marRight w:val="0"/>
          <w:marTop w:val="0"/>
          <w:marBottom w:val="0"/>
          <w:divBdr>
            <w:top w:val="none" w:sz="0" w:space="0" w:color="auto"/>
            <w:left w:val="none" w:sz="0" w:space="0" w:color="auto"/>
            <w:bottom w:val="none" w:sz="0" w:space="0" w:color="auto"/>
            <w:right w:val="none" w:sz="0" w:space="0" w:color="auto"/>
          </w:divBdr>
          <w:divsChild>
            <w:div w:id="1043408397">
              <w:marLeft w:val="0"/>
              <w:marRight w:val="0"/>
              <w:marTop w:val="0"/>
              <w:marBottom w:val="0"/>
              <w:divBdr>
                <w:top w:val="none" w:sz="0" w:space="0" w:color="auto"/>
                <w:left w:val="none" w:sz="0" w:space="0" w:color="auto"/>
                <w:bottom w:val="none" w:sz="0" w:space="0" w:color="auto"/>
                <w:right w:val="none" w:sz="0" w:space="0" w:color="auto"/>
              </w:divBdr>
            </w:div>
          </w:divsChild>
        </w:div>
        <w:div w:id="1471170720">
          <w:marLeft w:val="0"/>
          <w:marRight w:val="0"/>
          <w:marTop w:val="0"/>
          <w:marBottom w:val="0"/>
          <w:divBdr>
            <w:top w:val="none" w:sz="0" w:space="0" w:color="auto"/>
            <w:left w:val="none" w:sz="0" w:space="0" w:color="auto"/>
            <w:bottom w:val="none" w:sz="0" w:space="0" w:color="auto"/>
            <w:right w:val="none" w:sz="0" w:space="0" w:color="auto"/>
          </w:divBdr>
          <w:divsChild>
            <w:div w:id="924191380">
              <w:marLeft w:val="0"/>
              <w:marRight w:val="0"/>
              <w:marTop w:val="0"/>
              <w:marBottom w:val="0"/>
              <w:divBdr>
                <w:top w:val="none" w:sz="0" w:space="0" w:color="auto"/>
                <w:left w:val="none" w:sz="0" w:space="0" w:color="auto"/>
                <w:bottom w:val="none" w:sz="0" w:space="0" w:color="auto"/>
                <w:right w:val="none" w:sz="0" w:space="0" w:color="auto"/>
              </w:divBdr>
            </w:div>
          </w:divsChild>
        </w:div>
        <w:div w:id="1484001598">
          <w:marLeft w:val="0"/>
          <w:marRight w:val="0"/>
          <w:marTop w:val="0"/>
          <w:marBottom w:val="0"/>
          <w:divBdr>
            <w:top w:val="none" w:sz="0" w:space="0" w:color="auto"/>
            <w:left w:val="none" w:sz="0" w:space="0" w:color="auto"/>
            <w:bottom w:val="none" w:sz="0" w:space="0" w:color="auto"/>
            <w:right w:val="none" w:sz="0" w:space="0" w:color="auto"/>
          </w:divBdr>
          <w:divsChild>
            <w:div w:id="698237511">
              <w:marLeft w:val="0"/>
              <w:marRight w:val="0"/>
              <w:marTop w:val="0"/>
              <w:marBottom w:val="0"/>
              <w:divBdr>
                <w:top w:val="none" w:sz="0" w:space="0" w:color="auto"/>
                <w:left w:val="none" w:sz="0" w:space="0" w:color="auto"/>
                <w:bottom w:val="none" w:sz="0" w:space="0" w:color="auto"/>
                <w:right w:val="none" w:sz="0" w:space="0" w:color="auto"/>
              </w:divBdr>
            </w:div>
            <w:div w:id="1047023120">
              <w:marLeft w:val="0"/>
              <w:marRight w:val="0"/>
              <w:marTop w:val="0"/>
              <w:marBottom w:val="0"/>
              <w:divBdr>
                <w:top w:val="none" w:sz="0" w:space="0" w:color="auto"/>
                <w:left w:val="none" w:sz="0" w:space="0" w:color="auto"/>
                <w:bottom w:val="none" w:sz="0" w:space="0" w:color="auto"/>
                <w:right w:val="none" w:sz="0" w:space="0" w:color="auto"/>
              </w:divBdr>
            </w:div>
            <w:div w:id="1216234030">
              <w:marLeft w:val="0"/>
              <w:marRight w:val="0"/>
              <w:marTop w:val="0"/>
              <w:marBottom w:val="0"/>
              <w:divBdr>
                <w:top w:val="none" w:sz="0" w:space="0" w:color="auto"/>
                <w:left w:val="none" w:sz="0" w:space="0" w:color="auto"/>
                <w:bottom w:val="none" w:sz="0" w:space="0" w:color="auto"/>
                <w:right w:val="none" w:sz="0" w:space="0" w:color="auto"/>
              </w:divBdr>
            </w:div>
            <w:div w:id="1948736190">
              <w:marLeft w:val="0"/>
              <w:marRight w:val="0"/>
              <w:marTop w:val="0"/>
              <w:marBottom w:val="0"/>
              <w:divBdr>
                <w:top w:val="none" w:sz="0" w:space="0" w:color="auto"/>
                <w:left w:val="none" w:sz="0" w:space="0" w:color="auto"/>
                <w:bottom w:val="none" w:sz="0" w:space="0" w:color="auto"/>
                <w:right w:val="none" w:sz="0" w:space="0" w:color="auto"/>
              </w:divBdr>
            </w:div>
          </w:divsChild>
        </w:div>
        <w:div w:id="1799183266">
          <w:marLeft w:val="0"/>
          <w:marRight w:val="0"/>
          <w:marTop w:val="0"/>
          <w:marBottom w:val="0"/>
          <w:divBdr>
            <w:top w:val="none" w:sz="0" w:space="0" w:color="auto"/>
            <w:left w:val="none" w:sz="0" w:space="0" w:color="auto"/>
            <w:bottom w:val="none" w:sz="0" w:space="0" w:color="auto"/>
            <w:right w:val="none" w:sz="0" w:space="0" w:color="auto"/>
          </w:divBdr>
          <w:divsChild>
            <w:div w:id="2140486209">
              <w:marLeft w:val="0"/>
              <w:marRight w:val="0"/>
              <w:marTop w:val="0"/>
              <w:marBottom w:val="0"/>
              <w:divBdr>
                <w:top w:val="none" w:sz="0" w:space="0" w:color="auto"/>
                <w:left w:val="none" w:sz="0" w:space="0" w:color="auto"/>
                <w:bottom w:val="none" w:sz="0" w:space="0" w:color="auto"/>
                <w:right w:val="none" w:sz="0" w:space="0" w:color="auto"/>
              </w:divBdr>
            </w:div>
          </w:divsChild>
        </w:div>
        <w:div w:id="1799300114">
          <w:marLeft w:val="0"/>
          <w:marRight w:val="0"/>
          <w:marTop w:val="0"/>
          <w:marBottom w:val="0"/>
          <w:divBdr>
            <w:top w:val="none" w:sz="0" w:space="0" w:color="auto"/>
            <w:left w:val="none" w:sz="0" w:space="0" w:color="auto"/>
            <w:bottom w:val="none" w:sz="0" w:space="0" w:color="auto"/>
            <w:right w:val="none" w:sz="0" w:space="0" w:color="auto"/>
          </w:divBdr>
          <w:divsChild>
            <w:div w:id="310915122">
              <w:marLeft w:val="0"/>
              <w:marRight w:val="0"/>
              <w:marTop w:val="0"/>
              <w:marBottom w:val="0"/>
              <w:divBdr>
                <w:top w:val="none" w:sz="0" w:space="0" w:color="auto"/>
                <w:left w:val="none" w:sz="0" w:space="0" w:color="auto"/>
                <w:bottom w:val="none" w:sz="0" w:space="0" w:color="auto"/>
                <w:right w:val="none" w:sz="0" w:space="0" w:color="auto"/>
              </w:divBdr>
            </w:div>
            <w:div w:id="2055036363">
              <w:marLeft w:val="0"/>
              <w:marRight w:val="0"/>
              <w:marTop w:val="0"/>
              <w:marBottom w:val="0"/>
              <w:divBdr>
                <w:top w:val="none" w:sz="0" w:space="0" w:color="auto"/>
                <w:left w:val="none" w:sz="0" w:space="0" w:color="auto"/>
                <w:bottom w:val="none" w:sz="0" w:space="0" w:color="auto"/>
                <w:right w:val="none" w:sz="0" w:space="0" w:color="auto"/>
              </w:divBdr>
            </w:div>
          </w:divsChild>
        </w:div>
        <w:div w:id="1927153433">
          <w:marLeft w:val="0"/>
          <w:marRight w:val="0"/>
          <w:marTop w:val="0"/>
          <w:marBottom w:val="0"/>
          <w:divBdr>
            <w:top w:val="none" w:sz="0" w:space="0" w:color="auto"/>
            <w:left w:val="none" w:sz="0" w:space="0" w:color="auto"/>
            <w:bottom w:val="none" w:sz="0" w:space="0" w:color="auto"/>
            <w:right w:val="none" w:sz="0" w:space="0" w:color="auto"/>
          </w:divBdr>
          <w:divsChild>
            <w:div w:id="806708584">
              <w:marLeft w:val="0"/>
              <w:marRight w:val="0"/>
              <w:marTop w:val="0"/>
              <w:marBottom w:val="0"/>
              <w:divBdr>
                <w:top w:val="none" w:sz="0" w:space="0" w:color="auto"/>
                <w:left w:val="none" w:sz="0" w:space="0" w:color="auto"/>
                <w:bottom w:val="none" w:sz="0" w:space="0" w:color="auto"/>
                <w:right w:val="none" w:sz="0" w:space="0" w:color="auto"/>
              </w:divBdr>
            </w:div>
            <w:div w:id="2060854598">
              <w:marLeft w:val="0"/>
              <w:marRight w:val="0"/>
              <w:marTop w:val="0"/>
              <w:marBottom w:val="0"/>
              <w:divBdr>
                <w:top w:val="none" w:sz="0" w:space="0" w:color="auto"/>
                <w:left w:val="none" w:sz="0" w:space="0" w:color="auto"/>
                <w:bottom w:val="none" w:sz="0" w:space="0" w:color="auto"/>
                <w:right w:val="none" w:sz="0" w:space="0" w:color="auto"/>
              </w:divBdr>
            </w:div>
          </w:divsChild>
        </w:div>
        <w:div w:id="2000964781">
          <w:marLeft w:val="0"/>
          <w:marRight w:val="0"/>
          <w:marTop w:val="0"/>
          <w:marBottom w:val="0"/>
          <w:divBdr>
            <w:top w:val="none" w:sz="0" w:space="0" w:color="auto"/>
            <w:left w:val="none" w:sz="0" w:space="0" w:color="auto"/>
            <w:bottom w:val="none" w:sz="0" w:space="0" w:color="auto"/>
            <w:right w:val="none" w:sz="0" w:space="0" w:color="auto"/>
          </w:divBdr>
          <w:divsChild>
            <w:div w:id="10743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11648">
      <w:bodyDiv w:val="1"/>
      <w:marLeft w:val="0"/>
      <w:marRight w:val="0"/>
      <w:marTop w:val="0"/>
      <w:marBottom w:val="0"/>
      <w:divBdr>
        <w:top w:val="none" w:sz="0" w:space="0" w:color="auto"/>
        <w:left w:val="none" w:sz="0" w:space="0" w:color="auto"/>
        <w:bottom w:val="none" w:sz="0" w:space="0" w:color="auto"/>
        <w:right w:val="none" w:sz="0" w:space="0" w:color="auto"/>
      </w:divBdr>
    </w:div>
    <w:div w:id="1758332611">
      <w:bodyDiv w:val="1"/>
      <w:marLeft w:val="0"/>
      <w:marRight w:val="0"/>
      <w:marTop w:val="0"/>
      <w:marBottom w:val="0"/>
      <w:divBdr>
        <w:top w:val="none" w:sz="0" w:space="0" w:color="auto"/>
        <w:left w:val="none" w:sz="0" w:space="0" w:color="auto"/>
        <w:bottom w:val="none" w:sz="0" w:space="0" w:color="auto"/>
        <w:right w:val="none" w:sz="0" w:space="0" w:color="auto"/>
      </w:divBdr>
    </w:div>
    <w:div w:id="1763648338">
      <w:bodyDiv w:val="1"/>
      <w:marLeft w:val="0"/>
      <w:marRight w:val="0"/>
      <w:marTop w:val="0"/>
      <w:marBottom w:val="0"/>
      <w:divBdr>
        <w:top w:val="none" w:sz="0" w:space="0" w:color="auto"/>
        <w:left w:val="none" w:sz="0" w:space="0" w:color="auto"/>
        <w:bottom w:val="none" w:sz="0" w:space="0" w:color="auto"/>
        <w:right w:val="none" w:sz="0" w:space="0" w:color="auto"/>
      </w:divBdr>
    </w:div>
    <w:div w:id="1764254347">
      <w:bodyDiv w:val="1"/>
      <w:marLeft w:val="0"/>
      <w:marRight w:val="0"/>
      <w:marTop w:val="0"/>
      <w:marBottom w:val="0"/>
      <w:divBdr>
        <w:top w:val="none" w:sz="0" w:space="0" w:color="auto"/>
        <w:left w:val="none" w:sz="0" w:space="0" w:color="auto"/>
        <w:bottom w:val="none" w:sz="0" w:space="0" w:color="auto"/>
        <w:right w:val="none" w:sz="0" w:space="0" w:color="auto"/>
      </w:divBdr>
    </w:div>
    <w:div w:id="1765103881">
      <w:bodyDiv w:val="1"/>
      <w:marLeft w:val="0"/>
      <w:marRight w:val="0"/>
      <w:marTop w:val="0"/>
      <w:marBottom w:val="0"/>
      <w:divBdr>
        <w:top w:val="none" w:sz="0" w:space="0" w:color="auto"/>
        <w:left w:val="none" w:sz="0" w:space="0" w:color="auto"/>
        <w:bottom w:val="none" w:sz="0" w:space="0" w:color="auto"/>
        <w:right w:val="none" w:sz="0" w:space="0" w:color="auto"/>
      </w:divBdr>
    </w:div>
    <w:div w:id="1771004984">
      <w:bodyDiv w:val="1"/>
      <w:marLeft w:val="0"/>
      <w:marRight w:val="0"/>
      <w:marTop w:val="0"/>
      <w:marBottom w:val="0"/>
      <w:divBdr>
        <w:top w:val="none" w:sz="0" w:space="0" w:color="auto"/>
        <w:left w:val="none" w:sz="0" w:space="0" w:color="auto"/>
        <w:bottom w:val="none" w:sz="0" w:space="0" w:color="auto"/>
        <w:right w:val="none" w:sz="0" w:space="0" w:color="auto"/>
      </w:divBdr>
    </w:div>
    <w:div w:id="1774469408">
      <w:bodyDiv w:val="1"/>
      <w:marLeft w:val="0"/>
      <w:marRight w:val="0"/>
      <w:marTop w:val="0"/>
      <w:marBottom w:val="0"/>
      <w:divBdr>
        <w:top w:val="none" w:sz="0" w:space="0" w:color="auto"/>
        <w:left w:val="none" w:sz="0" w:space="0" w:color="auto"/>
        <w:bottom w:val="none" w:sz="0" w:space="0" w:color="auto"/>
        <w:right w:val="none" w:sz="0" w:space="0" w:color="auto"/>
      </w:divBdr>
    </w:div>
    <w:div w:id="1775905639">
      <w:bodyDiv w:val="1"/>
      <w:marLeft w:val="0"/>
      <w:marRight w:val="0"/>
      <w:marTop w:val="0"/>
      <w:marBottom w:val="0"/>
      <w:divBdr>
        <w:top w:val="none" w:sz="0" w:space="0" w:color="auto"/>
        <w:left w:val="none" w:sz="0" w:space="0" w:color="auto"/>
        <w:bottom w:val="none" w:sz="0" w:space="0" w:color="auto"/>
        <w:right w:val="none" w:sz="0" w:space="0" w:color="auto"/>
      </w:divBdr>
    </w:div>
    <w:div w:id="1778913360">
      <w:bodyDiv w:val="1"/>
      <w:marLeft w:val="0"/>
      <w:marRight w:val="0"/>
      <w:marTop w:val="0"/>
      <w:marBottom w:val="0"/>
      <w:divBdr>
        <w:top w:val="none" w:sz="0" w:space="0" w:color="auto"/>
        <w:left w:val="none" w:sz="0" w:space="0" w:color="auto"/>
        <w:bottom w:val="none" w:sz="0" w:space="0" w:color="auto"/>
        <w:right w:val="none" w:sz="0" w:space="0" w:color="auto"/>
      </w:divBdr>
    </w:div>
    <w:div w:id="1781222251">
      <w:bodyDiv w:val="1"/>
      <w:marLeft w:val="0"/>
      <w:marRight w:val="0"/>
      <w:marTop w:val="0"/>
      <w:marBottom w:val="0"/>
      <w:divBdr>
        <w:top w:val="none" w:sz="0" w:space="0" w:color="auto"/>
        <w:left w:val="none" w:sz="0" w:space="0" w:color="auto"/>
        <w:bottom w:val="none" w:sz="0" w:space="0" w:color="auto"/>
        <w:right w:val="none" w:sz="0" w:space="0" w:color="auto"/>
      </w:divBdr>
    </w:div>
    <w:div w:id="1782527153">
      <w:bodyDiv w:val="1"/>
      <w:marLeft w:val="0"/>
      <w:marRight w:val="0"/>
      <w:marTop w:val="0"/>
      <w:marBottom w:val="0"/>
      <w:divBdr>
        <w:top w:val="none" w:sz="0" w:space="0" w:color="auto"/>
        <w:left w:val="none" w:sz="0" w:space="0" w:color="auto"/>
        <w:bottom w:val="none" w:sz="0" w:space="0" w:color="auto"/>
        <w:right w:val="none" w:sz="0" w:space="0" w:color="auto"/>
      </w:divBdr>
    </w:div>
    <w:div w:id="1788741223">
      <w:bodyDiv w:val="1"/>
      <w:marLeft w:val="0"/>
      <w:marRight w:val="0"/>
      <w:marTop w:val="0"/>
      <w:marBottom w:val="0"/>
      <w:divBdr>
        <w:top w:val="none" w:sz="0" w:space="0" w:color="auto"/>
        <w:left w:val="none" w:sz="0" w:space="0" w:color="auto"/>
        <w:bottom w:val="none" w:sz="0" w:space="0" w:color="auto"/>
        <w:right w:val="none" w:sz="0" w:space="0" w:color="auto"/>
      </w:divBdr>
    </w:div>
    <w:div w:id="1791507986">
      <w:bodyDiv w:val="1"/>
      <w:marLeft w:val="0"/>
      <w:marRight w:val="0"/>
      <w:marTop w:val="0"/>
      <w:marBottom w:val="0"/>
      <w:divBdr>
        <w:top w:val="none" w:sz="0" w:space="0" w:color="auto"/>
        <w:left w:val="none" w:sz="0" w:space="0" w:color="auto"/>
        <w:bottom w:val="none" w:sz="0" w:space="0" w:color="auto"/>
        <w:right w:val="none" w:sz="0" w:space="0" w:color="auto"/>
      </w:divBdr>
    </w:div>
    <w:div w:id="1793013527">
      <w:bodyDiv w:val="1"/>
      <w:marLeft w:val="0"/>
      <w:marRight w:val="0"/>
      <w:marTop w:val="0"/>
      <w:marBottom w:val="0"/>
      <w:divBdr>
        <w:top w:val="none" w:sz="0" w:space="0" w:color="auto"/>
        <w:left w:val="none" w:sz="0" w:space="0" w:color="auto"/>
        <w:bottom w:val="none" w:sz="0" w:space="0" w:color="auto"/>
        <w:right w:val="none" w:sz="0" w:space="0" w:color="auto"/>
      </w:divBdr>
    </w:div>
    <w:div w:id="1799448116">
      <w:bodyDiv w:val="1"/>
      <w:marLeft w:val="0"/>
      <w:marRight w:val="0"/>
      <w:marTop w:val="0"/>
      <w:marBottom w:val="0"/>
      <w:divBdr>
        <w:top w:val="none" w:sz="0" w:space="0" w:color="auto"/>
        <w:left w:val="none" w:sz="0" w:space="0" w:color="auto"/>
        <w:bottom w:val="none" w:sz="0" w:space="0" w:color="auto"/>
        <w:right w:val="none" w:sz="0" w:space="0" w:color="auto"/>
      </w:divBdr>
    </w:div>
    <w:div w:id="1800764268">
      <w:bodyDiv w:val="1"/>
      <w:marLeft w:val="0"/>
      <w:marRight w:val="0"/>
      <w:marTop w:val="0"/>
      <w:marBottom w:val="0"/>
      <w:divBdr>
        <w:top w:val="none" w:sz="0" w:space="0" w:color="auto"/>
        <w:left w:val="none" w:sz="0" w:space="0" w:color="auto"/>
        <w:bottom w:val="none" w:sz="0" w:space="0" w:color="auto"/>
        <w:right w:val="none" w:sz="0" w:space="0" w:color="auto"/>
      </w:divBdr>
    </w:div>
    <w:div w:id="1804230025">
      <w:bodyDiv w:val="1"/>
      <w:marLeft w:val="0"/>
      <w:marRight w:val="0"/>
      <w:marTop w:val="0"/>
      <w:marBottom w:val="0"/>
      <w:divBdr>
        <w:top w:val="none" w:sz="0" w:space="0" w:color="auto"/>
        <w:left w:val="none" w:sz="0" w:space="0" w:color="auto"/>
        <w:bottom w:val="none" w:sz="0" w:space="0" w:color="auto"/>
        <w:right w:val="none" w:sz="0" w:space="0" w:color="auto"/>
      </w:divBdr>
    </w:div>
    <w:div w:id="1806655892">
      <w:bodyDiv w:val="1"/>
      <w:marLeft w:val="0"/>
      <w:marRight w:val="0"/>
      <w:marTop w:val="0"/>
      <w:marBottom w:val="0"/>
      <w:divBdr>
        <w:top w:val="none" w:sz="0" w:space="0" w:color="auto"/>
        <w:left w:val="none" w:sz="0" w:space="0" w:color="auto"/>
        <w:bottom w:val="none" w:sz="0" w:space="0" w:color="auto"/>
        <w:right w:val="none" w:sz="0" w:space="0" w:color="auto"/>
      </w:divBdr>
    </w:div>
    <w:div w:id="1813398576">
      <w:bodyDiv w:val="1"/>
      <w:marLeft w:val="0"/>
      <w:marRight w:val="0"/>
      <w:marTop w:val="0"/>
      <w:marBottom w:val="0"/>
      <w:divBdr>
        <w:top w:val="none" w:sz="0" w:space="0" w:color="auto"/>
        <w:left w:val="none" w:sz="0" w:space="0" w:color="auto"/>
        <w:bottom w:val="none" w:sz="0" w:space="0" w:color="auto"/>
        <w:right w:val="none" w:sz="0" w:space="0" w:color="auto"/>
      </w:divBdr>
    </w:div>
    <w:div w:id="1818574191">
      <w:bodyDiv w:val="1"/>
      <w:marLeft w:val="0"/>
      <w:marRight w:val="0"/>
      <w:marTop w:val="0"/>
      <w:marBottom w:val="0"/>
      <w:divBdr>
        <w:top w:val="none" w:sz="0" w:space="0" w:color="auto"/>
        <w:left w:val="none" w:sz="0" w:space="0" w:color="auto"/>
        <w:bottom w:val="none" w:sz="0" w:space="0" w:color="auto"/>
        <w:right w:val="none" w:sz="0" w:space="0" w:color="auto"/>
      </w:divBdr>
    </w:div>
    <w:div w:id="1825122656">
      <w:bodyDiv w:val="1"/>
      <w:marLeft w:val="0"/>
      <w:marRight w:val="0"/>
      <w:marTop w:val="0"/>
      <w:marBottom w:val="0"/>
      <w:divBdr>
        <w:top w:val="none" w:sz="0" w:space="0" w:color="auto"/>
        <w:left w:val="none" w:sz="0" w:space="0" w:color="auto"/>
        <w:bottom w:val="none" w:sz="0" w:space="0" w:color="auto"/>
        <w:right w:val="none" w:sz="0" w:space="0" w:color="auto"/>
      </w:divBdr>
    </w:div>
    <w:div w:id="1825538004">
      <w:bodyDiv w:val="1"/>
      <w:marLeft w:val="0"/>
      <w:marRight w:val="0"/>
      <w:marTop w:val="0"/>
      <w:marBottom w:val="0"/>
      <w:divBdr>
        <w:top w:val="none" w:sz="0" w:space="0" w:color="auto"/>
        <w:left w:val="none" w:sz="0" w:space="0" w:color="auto"/>
        <w:bottom w:val="none" w:sz="0" w:space="0" w:color="auto"/>
        <w:right w:val="none" w:sz="0" w:space="0" w:color="auto"/>
      </w:divBdr>
    </w:div>
    <w:div w:id="1826508472">
      <w:bodyDiv w:val="1"/>
      <w:marLeft w:val="0"/>
      <w:marRight w:val="0"/>
      <w:marTop w:val="0"/>
      <w:marBottom w:val="0"/>
      <w:divBdr>
        <w:top w:val="none" w:sz="0" w:space="0" w:color="auto"/>
        <w:left w:val="none" w:sz="0" w:space="0" w:color="auto"/>
        <w:bottom w:val="none" w:sz="0" w:space="0" w:color="auto"/>
        <w:right w:val="none" w:sz="0" w:space="0" w:color="auto"/>
      </w:divBdr>
      <w:divsChild>
        <w:div w:id="372310949">
          <w:marLeft w:val="0"/>
          <w:marRight w:val="0"/>
          <w:marTop w:val="0"/>
          <w:marBottom w:val="0"/>
          <w:divBdr>
            <w:top w:val="none" w:sz="0" w:space="0" w:color="auto"/>
            <w:left w:val="none" w:sz="0" w:space="0" w:color="auto"/>
            <w:bottom w:val="none" w:sz="0" w:space="0" w:color="auto"/>
            <w:right w:val="none" w:sz="0" w:space="0" w:color="auto"/>
          </w:divBdr>
          <w:divsChild>
            <w:div w:id="1778258198">
              <w:marLeft w:val="0"/>
              <w:marRight w:val="0"/>
              <w:marTop w:val="0"/>
              <w:marBottom w:val="0"/>
              <w:divBdr>
                <w:top w:val="none" w:sz="0" w:space="0" w:color="auto"/>
                <w:left w:val="none" w:sz="0" w:space="0" w:color="auto"/>
                <w:bottom w:val="none" w:sz="0" w:space="0" w:color="auto"/>
                <w:right w:val="none" w:sz="0" w:space="0" w:color="auto"/>
              </w:divBdr>
            </w:div>
          </w:divsChild>
        </w:div>
        <w:div w:id="431363453">
          <w:marLeft w:val="0"/>
          <w:marRight w:val="0"/>
          <w:marTop w:val="0"/>
          <w:marBottom w:val="0"/>
          <w:divBdr>
            <w:top w:val="none" w:sz="0" w:space="0" w:color="auto"/>
            <w:left w:val="none" w:sz="0" w:space="0" w:color="auto"/>
            <w:bottom w:val="none" w:sz="0" w:space="0" w:color="auto"/>
            <w:right w:val="none" w:sz="0" w:space="0" w:color="auto"/>
          </w:divBdr>
          <w:divsChild>
            <w:div w:id="850988671">
              <w:marLeft w:val="0"/>
              <w:marRight w:val="0"/>
              <w:marTop w:val="0"/>
              <w:marBottom w:val="0"/>
              <w:divBdr>
                <w:top w:val="none" w:sz="0" w:space="0" w:color="auto"/>
                <w:left w:val="none" w:sz="0" w:space="0" w:color="auto"/>
                <w:bottom w:val="none" w:sz="0" w:space="0" w:color="auto"/>
                <w:right w:val="none" w:sz="0" w:space="0" w:color="auto"/>
              </w:divBdr>
            </w:div>
          </w:divsChild>
        </w:div>
        <w:div w:id="477233166">
          <w:marLeft w:val="0"/>
          <w:marRight w:val="0"/>
          <w:marTop w:val="0"/>
          <w:marBottom w:val="0"/>
          <w:divBdr>
            <w:top w:val="none" w:sz="0" w:space="0" w:color="auto"/>
            <w:left w:val="none" w:sz="0" w:space="0" w:color="auto"/>
            <w:bottom w:val="none" w:sz="0" w:space="0" w:color="auto"/>
            <w:right w:val="none" w:sz="0" w:space="0" w:color="auto"/>
          </w:divBdr>
          <w:divsChild>
            <w:div w:id="578953435">
              <w:marLeft w:val="0"/>
              <w:marRight w:val="0"/>
              <w:marTop w:val="0"/>
              <w:marBottom w:val="0"/>
              <w:divBdr>
                <w:top w:val="none" w:sz="0" w:space="0" w:color="auto"/>
                <w:left w:val="none" w:sz="0" w:space="0" w:color="auto"/>
                <w:bottom w:val="none" w:sz="0" w:space="0" w:color="auto"/>
                <w:right w:val="none" w:sz="0" w:space="0" w:color="auto"/>
              </w:divBdr>
            </w:div>
            <w:div w:id="2064479087">
              <w:marLeft w:val="0"/>
              <w:marRight w:val="0"/>
              <w:marTop w:val="0"/>
              <w:marBottom w:val="0"/>
              <w:divBdr>
                <w:top w:val="none" w:sz="0" w:space="0" w:color="auto"/>
                <w:left w:val="none" w:sz="0" w:space="0" w:color="auto"/>
                <w:bottom w:val="none" w:sz="0" w:space="0" w:color="auto"/>
                <w:right w:val="none" w:sz="0" w:space="0" w:color="auto"/>
              </w:divBdr>
            </w:div>
          </w:divsChild>
        </w:div>
        <w:div w:id="531067496">
          <w:marLeft w:val="0"/>
          <w:marRight w:val="0"/>
          <w:marTop w:val="0"/>
          <w:marBottom w:val="0"/>
          <w:divBdr>
            <w:top w:val="none" w:sz="0" w:space="0" w:color="auto"/>
            <w:left w:val="none" w:sz="0" w:space="0" w:color="auto"/>
            <w:bottom w:val="none" w:sz="0" w:space="0" w:color="auto"/>
            <w:right w:val="none" w:sz="0" w:space="0" w:color="auto"/>
          </w:divBdr>
          <w:divsChild>
            <w:div w:id="100342820">
              <w:marLeft w:val="0"/>
              <w:marRight w:val="0"/>
              <w:marTop w:val="0"/>
              <w:marBottom w:val="0"/>
              <w:divBdr>
                <w:top w:val="none" w:sz="0" w:space="0" w:color="auto"/>
                <w:left w:val="none" w:sz="0" w:space="0" w:color="auto"/>
                <w:bottom w:val="none" w:sz="0" w:space="0" w:color="auto"/>
                <w:right w:val="none" w:sz="0" w:space="0" w:color="auto"/>
              </w:divBdr>
            </w:div>
            <w:div w:id="887566306">
              <w:marLeft w:val="0"/>
              <w:marRight w:val="0"/>
              <w:marTop w:val="0"/>
              <w:marBottom w:val="0"/>
              <w:divBdr>
                <w:top w:val="none" w:sz="0" w:space="0" w:color="auto"/>
                <w:left w:val="none" w:sz="0" w:space="0" w:color="auto"/>
                <w:bottom w:val="none" w:sz="0" w:space="0" w:color="auto"/>
                <w:right w:val="none" w:sz="0" w:space="0" w:color="auto"/>
              </w:divBdr>
            </w:div>
          </w:divsChild>
        </w:div>
        <w:div w:id="627971255">
          <w:marLeft w:val="0"/>
          <w:marRight w:val="0"/>
          <w:marTop w:val="0"/>
          <w:marBottom w:val="0"/>
          <w:divBdr>
            <w:top w:val="none" w:sz="0" w:space="0" w:color="auto"/>
            <w:left w:val="none" w:sz="0" w:space="0" w:color="auto"/>
            <w:bottom w:val="none" w:sz="0" w:space="0" w:color="auto"/>
            <w:right w:val="none" w:sz="0" w:space="0" w:color="auto"/>
          </w:divBdr>
          <w:divsChild>
            <w:div w:id="567422657">
              <w:marLeft w:val="0"/>
              <w:marRight w:val="0"/>
              <w:marTop w:val="0"/>
              <w:marBottom w:val="0"/>
              <w:divBdr>
                <w:top w:val="none" w:sz="0" w:space="0" w:color="auto"/>
                <w:left w:val="none" w:sz="0" w:space="0" w:color="auto"/>
                <w:bottom w:val="none" w:sz="0" w:space="0" w:color="auto"/>
                <w:right w:val="none" w:sz="0" w:space="0" w:color="auto"/>
              </w:divBdr>
            </w:div>
          </w:divsChild>
        </w:div>
        <w:div w:id="895972579">
          <w:marLeft w:val="0"/>
          <w:marRight w:val="0"/>
          <w:marTop w:val="0"/>
          <w:marBottom w:val="0"/>
          <w:divBdr>
            <w:top w:val="none" w:sz="0" w:space="0" w:color="auto"/>
            <w:left w:val="none" w:sz="0" w:space="0" w:color="auto"/>
            <w:bottom w:val="none" w:sz="0" w:space="0" w:color="auto"/>
            <w:right w:val="none" w:sz="0" w:space="0" w:color="auto"/>
          </w:divBdr>
          <w:divsChild>
            <w:div w:id="1392079491">
              <w:marLeft w:val="0"/>
              <w:marRight w:val="0"/>
              <w:marTop w:val="0"/>
              <w:marBottom w:val="0"/>
              <w:divBdr>
                <w:top w:val="none" w:sz="0" w:space="0" w:color="auto"/>
                <w:left w:val="none" w:sz="0" w:space="0" w:color="auto"/>
                <w:bottom w:val="none" w:sz="0" w:space="0" w:color="auto"/>
                <w:right w:val="none" w:sz="0" w:space="0" w:color="auto"/>
              </w:divBdr>
            </w:div>
          </w:divsChild>
        </w:div>
        <w:div w:id="1013267009">
          <w:marLeft w:val="0"/>
          <w:marRight w:val="0"/>
          <w:marTop w:val="0"/>
          <w:marBottom w:val="0"/>
          <w:divBdr>
            <w:top w:val="none" w:sz="0" w:space="0" w:color="auto"/>
            <w:left w:val="none" w:sz="0" w:space="0" w:color="auto"/>
            <w:bottom w:val="none" w:sz="0" w:space="0" w:color="auto"/>
            <w:right w:val="none" w:sz="0" w:space="0" w:color="auto"/>
          </w:divBdr>
          <w:divsChild>
            <w:div w:id="56515841">
              <w:marLeft w:val="0"/>
              <w:marRight w:val="0"/>
              <w:marTop w:val="0"/>
              <w:marBottom w:val="0"/>
              <w:divBdr>
                <w:top w:val="none" w:sz="0" w:space="0" w:color="auto"/>
                <w:left w:val="none" w:sz="0" w:space="0" w:color="auto"/>
                <w:bottom w:val="none" w:sz="0" w:space="0" w:color="auto"/>
                <w:right w:val="none" w:sz="0" w:space="0" w:color="auto"/>
              </w:divBdr>
            </w:div>
            <w:div w:id="100147494">
              <w:marLeft w:val="0"/>
              <w:marRight w:val="0"/>
              <w:marTop w:val="0"/>
              <w:marBottom w:val="0"/>
              <w:divBdr>
                <w:top w:val="none" w:sz="0" w:space="0" w:color="auto"/>
                <w:left w:val="none" w:sz="0" w:space="0" w:color="auto"/>
                <w:bottom w:val="none" w:sz="0" w:space="0" w:color="auto"/>
                <w:right w:val="none" w:sz="0" w:space="0" w:color="auto"/>
              </w:divBdr>
            </w:div>
            <w:div w:id="221794413">
              <w:marLeft w:val="0"/>
              <w:marRight w:val="0"/>
              <w:marTop w:val="0"/>
              <w:marBottom w:val="0"/>
              <w:divBdr>
                <w:top w:val="none" w:sz="0" w:space="0" w:color="auto"/>
                <w:left w:val="none" w:sz="0" w:space="0" w:color="auto"/>
                <w:bottom w:val="none" w:sz="0" w:space="0" w:color="auto"/>
                <w:right w:val="none" w:sz="0" w:space="0" w:color="auto"/>
              </w:divBdr>
            </w:div>
            <w:div w:id="521632922">
              <w:marLeft w:val="0"/>
              <w:marRight w:val="0"/>
              <w:marTop w:val="0"/>
              <w:marBottom w:val="0"/>
              <w:divBdr>
                <w:top w:val="none" w:sz="0" w:space="0" w:color="auto"/>
                <w:left w:val="none" w:sz="0" w:space="0" w:color="auto"/>
                <w:bottom w:val="none" w:sz="0" w:space="0" w:color="auto"/>
                <w:right w:val="none" w:sz="0" w:space="0" w:color="auto"/>
              </w:divBdr>
            </w:div>
            <w:div w:id="949780289">
              <w:marLeft w:val="0"/>
              <w:marRight w:val="0"/>
              <w:marTop w:val="0"/>
              <w:marBottom w:val="0"/>
              <w:divBdr>
                <w:top w:val="none" w:sz="0" w:space="0" w:color="auto"/>
                <w:left w:val="none" w:sz="0" w:space="0" w:color="auto"/>
                <w:bottom w:val="none" w:sz="0" w:space="0" w:color="auto"/>
                <w:right w:val="none" w:sz="0" w:space="0" w:color="auto"/>
              </w:divBdr>
            </w:div>
            <w:div w:id="1197742044">
              <w:marLeft w:val="0"/>
              <w:marRight w:val="0"/>
              <w:marTop w:val="0"/>
              <w:marBottom w:val="0"/>
              <w:divBdr>
                <w:top w:val="none" w:sz="0" w:space="0" w:color="auto"/>
                <w:left w:val="none" w:sz="0" w:space="0" w:color="auto"/>
                <w:bottom w:val="none" w:sz="0" w:space="0" w:color="auto"/>
                <w:right w:val="none" w:sz="0" w:space="0" w:color="auto"/>
              </w:divBdr>
            </w:div>
            <w:div w:id="1522352468">
              <w:marLeft w:val="0"/>
              <w:marRight w:val="0"/>
              <w:marTop w:val="0"/>
              <w:marBottom w:val="0"/>
              <w:divBdr>
                <w:top w:val="none" w:sz="0" w:space="0" w:color="auto"/>
                <w:left w:val="none" w:sz="0" w:space="0" w:color="auto"/>
                <w:bottom w:val="none" w:sz="0" w:space="0" w:color="auto"/>
                <w:right w:val="none" w:sz="0" w:space="0" w:color="auto"/>
              </w:divBdr>
            </w:div>
          </w:divsChild>
        </w:div>
        <w:div w:id="1096436705">
          <w:marLeft w:val="0"/>
          <w:marRight w:val="0"/>
          <w:marTop w:val="0"/>
          <w:marBottom w:val="0"/>
          <w:divBdr>
            <w:top w:val="none" w:sz="0" w:space="0" w:color="auto"/>
            <w:left w:val="none" w:sz="0" w:space="0" w:color="auto"/>
            <w:bottom w:val="none" w:sz="0" w:space="0" w:color="auto"/>
            <w:right w:val="none" w:sz="0" w:space="0" w:color="auto"/>
          </w:divBdr>
          <w:divsChild>
            <w:div w:id="182015941">
              <w:marLeft w:val="0"/>
              <w:marRight w:val="0"/>
              <w:marTop w:val="0"/>
              <w:marBottom w:val="0"/>
              <w:divBdr>
                <w:top w:val="none" w:sz="0" w:space="0" w:color="auto"/>
                <w:left w:val="none" w:sz="0" w:space="0" w:color="auto"/>
                <w:bottom w:val="none" w:sz="0" w:space="0" w:color="auto"/>
                <w:right w:val="none" w:sz="0" w:space="0" w:color="auto"/>
              </w:divBdr>
            </w:div>
          </w:divsChild>
        </w:div>
        <w:div w:id="1099374312">
          <w:marLeft w:val="0"/>
          <w:marRight w:val="0"/>
          <w:marTop w:val="0"/>
          <w:marBottom w:val="0"/>
          <w:divBdr>
            <w:top w:val="none" w:sz="0" w:space="0" w:color="auto"/>
            <w:left w:val="none" w:sz="0" w:space="0" w:color="auto"/>
            <w:bottom w:val="none" w:sz="0" w:space="0" w:color="auto"/>
            <w:right w:val="none" w:sz="0" w:space="0" w:color="auto"/>
          </w:divBdr>
          <w:divsChild>
            <w:div w:id="212811672">
              <w:marLeft w:val="0"/>
              <w:marRight w:val="0"/>
              <w:marTop w:val="0"/>
              <w:marBottom w:val="0"/>
              <w:divBdr>
                <w:top w:val="none" w:sz="0" w:space="0" w:color="auto"/>
                <w:left w:val="none" w:sz="0" w:space="0" w:color="auto"/>
                <w:bottom w:val="none" w:sz="0" w:space="0" w:color="auto"/>
                <w:right w:val="none" w:sz="0" w:space="0" w:color="auto"/>
              </w:divBdr>
            </w:div>
            <w:div w:id="795103478">
              <w:marLeft w:val="0"/>
              <w:marRight w:val="0"/>
              <w:marTop w:val="0"/>
              <w:marBottom w:val="0"/>
              <w:divBdr>
                <w:top w:val="none" w:sz="0" w:space="0" w:color="auto"/>
                <w:left w:val="none" w:sz="0" w:space="0" w:color="auto"/>
                <w:bottom w:val="none" w:sz="0" w:space="0" w:color="auto"/>
                <w:right w:val="none" w:sz="0" w:space="0" w:color="auto"/>
              </w:divBdr>
            </w:div>
          </w:divsChild>
        </w:div>
        <w:div w:id="1171916243">
          <w:marLeft w:val="0"/>
          <w:marRight w:val="0"/>
          <w:marTop w:val="0"/>
          <w:marBottom w:val="0"/>
          <w:divBdr>
            <w:top w:val="none" w:sz="0" w:space="0" w:color="auto"/>
            <w:left w:val="none" w:sz="0" w:space="0" w:color="auto"/>
            <w:bottom w:val="none" w:sz="0" w:space="0" w:color="auto"/>
            <w:right w:val="none" w:sz="0" w:space="0" w:color="auto"/>
          </w:divBdr>
          <w:divsChild>
            <w:div w:id="34162718">
              <w:marLeft w:val="0"/>
              <w:marRight w:val="0"/>
              <w:marTop w:val="0"/>
              <w:marBottom w:val="0"/>
              <w:divBdr>
                <w:top w:val="none" w:sz="0" w:space="0" w:color="auto"/>
                <w:left w:val="none" w:sz="0" w:space="0" w:color="auto"/>
                <w:bottom w:val="none" w:sz="0" w:space="0" w:color="auto"/>
                <w:right w:val="none" w:sz="0" w:space="0" w:color="auto"/>
              </w:divBdr>
            </w:div>
            <w:div w:id="687606044">
              <w:marLeft w:val="0"/>
              <w:marRight w:val="0"/>
              <w:marTop w:val="0"/>
              <w:marBottom w:val="0"/>
              <w:divBdr>
                <w:top w:val="none" w:sz="0" w:space="0" w:color="auto"/>
                <w:left w:val="none" w:sz="0" w:space="0" w:color="auto"/>
                <w:bottom w:val="none" w:sz="0" w:space="0" w:color="auto"/>
                <w:right w:val="none" w:sz="0" w:space="0" w:color="auto"/>
              </w:divBdr>
            </w:div>
            <w:div w:id="1308247793">
              <w:marLeft w:val="0"/>
              <w:marRight w:val="0"/>
              <w:marTop w:val="0"/>
              <w:marBottom w:val="0"/>
              <w:divBdr>
                <w:top w:val="none" w:sz="0" w:space="0" w:color="auto"/>
                <w:left w:val="none" w:sz="0" w:space="0" w:color="auto"/>
                <w:bottom w:val="none" w:sz="0" w:space="0" w:color="auto"/>
                <w:right w:val="none" w:sz="0" w:space="0" w:color="auto"/>
              </w:divBdr>
            </w:div>
          </w:divsChild>
        </w:div>
        <w:div w:id="1268273491">
          <w:marLeft w:val="0"/>
          <w:marRight w:val="0"/>
          <w:marTop w:val="0"/>
          <w:marBottom w:val="0"/>
          <w:divBdr>
            <w:top w:val="none" w:sz="0" w:space="0" w:color="auto"/>
            <w:left w:val="none" w:sz="0" w:space="0" w:color="auto"/>
            <w:bottom w:val="none" w:sz="0" w:space="0" w:color="auto"/>
            <w:right w:val="none" w:sz="0" w:space="0" w:color="auto"/>
          </w:divBdr>
          <w:divsChild>
            <w:div w:id="176771445">
              <w:marLeft w:val="0"/>
              <w:marRight w:val="0"/>
              <w:marTop w:val="0"/>
              <w:marBottom w:val="0"/>
              <w:divBdr>
                <w:top w:val="none" w:sz="0" w:space="0" w:color="auto"/>
                <w:left w:val="none" w:sz="0" w:space="0" w:color="auto"/>
                <w:bottom w:val="none" w:sz="0" w:space="0" w:color="auto"/>
                <w:right w:val="none" w:sz="0" w:space="0" w:color="auto"/>
              </w:divBdr>
            </w:div>
            <w:div w:id="582224218">
              <w:marLeft w:val="0"/>
              <w:marRight w:val="0"/>
              <w:marTop w:val="0"/>
              <w:marBottom w:val="0"/>
              <w:divBdr>
                <w:top w:val="none" w:sz="0" w:space="0" w:color="auto"/>
                <w:left w:val="none" w:sz="0" w:space="0" w:color="auto"/>
                <w:bottom w:val="none" w:sz="0" w:space="0" w:color="auto"/>
                <w:right w:val="none" w:sz="0" w:space="0" w:color="auto"/>
              </w:divBdr>
            </w:div>
            <w:div w:id="1672441747">
              <w:marLeft w:val="0"/>
              <w:marRight w:val="0"/>
              <w:marTop w:val="0"/>
              <w:marBottom w:val="0"/>
              <w:divBdr>
                <w:top w:val="none" w:sz="0" w:space="0" w:color="auto"/>
                <w:left w:val="none" w:sz="0" w:space="0" w:color="auto"/>
                <w:bottom w:val="none" w:sz="0" w:space="0" w:color="auto"/>
                <w:right w:val="none" w:sz="0" w:space="0" w:color="auto"/>
              </w:divBdr>
            </w:div>
          </w:divsChild>
        </w:div>
        <w:div w:id="1430735379">
          <w:marLeft w:val="0"/>
          <w:marRight w:val="0"/>
          <w:marTop w:val="0"/>
          <w:marBottom w:val="0"/>
          <w:divBdr>
            <w:top w:val="none" w:sz="0" w:space="0" w:color="auto"/>
            <w:left w:val="none" w:sz="0" w:space="0" w:color="auto"/>
            <w:bottom w:val="none" w:sz="0" w:space="0" w:color="auto"/>
            <w:right w:val="none" w:sz="0" w:space="0" w:color="auto"/>
          </w:divBdr>
          <w:divsChild>
            <w:div w:id="389891132">
              <w:marLeft w:val="0"/>
              <w:marRight w:val="0"/>
              <w:marTop w:val="0"/>
              <w:marBottom w:val="0"/>
              <w:divBdr>
                <w:top w:val="none" w:sz="0" w:space="0" w:color="auto"/>
                <w:left w:val="none" w:sz="0" w:space="0" w:color="auto"/>
                <w:bottom w:val="none" w:sz="0" w:space="0" w:color="auto"/>
                <w:right w:val="none" w:sz="0" w:space="0" w:color="auto"/>
              </w:divBdr>
            </w:div>
          </w:divsChild>
        </w:div>
        <w:div w:id="1487018095">
          <w:marLeft w:val="0"/>
          <w:marRight w:val="0"/>
          <w:marTop w:val="0"/>
          <w:marBottom w:val="0"/>
          <w:divBdr>
            <w:top w:val="none" w:sz="0" w:space="0" w:color="auto"/>
            <w:left w:val="none" w:sz="0" w:space="0" w:color="auto"/>
            <w:bottom w:val="none" w:sz="0" w:space="0" w:color="auto"/>
            <w:right w:val="none" w:sz="0" w:space="0" w:color="auto"/>
          </w:divBdr>
          <w:divsChild>
            <w:div w:id="1766993258">
              <w:marLeft w:val="0"/>
              <w:marRight w:val="0"/>
              <w:marTop w:val="0"/>
              <w:marBottom w:val="0"/>
              <w:divBdr>
                <w:top w:val="none" w:sz="0" w:space="0" w:color="auto"/>
                <w:left w:val="none" w:sz="0" w:space="0" w:color="auto"/>
                <w:bottom w:val="none" w:sz="0" w:space="0" w:color="auto"/>
                <w:right w:val="none" w:sz="0" w:space="0" w:color="auto"/>
              </w:divBdr>
            </w:div>
          </w:divsChild>
        </w:div>
        <w:div w:id="1518883824">
          <w:marLeft w:val="0"/>
          <w:marRight w:val="0"/>
          <w:marTop w:val="0"/>
          <w:marBottom w:val="0"/>
          <w:divBdr>
            <w:top w:val="none" w:sz="0" w:space="0" w:color="auto"/>
            <w:left w:val="none" w:sz="0" w:space="0" w:color="auto"/>
            <w:bottom w:val="none" w:sz="0" w:space="0" w:color="auto"/>
            <w:right w:val="none" w:sz="0" w:space="0" w:color="auto"/>
          </w:divBdr>
          <w:divsChild>
            <w:div w:id="41441422">
              <w:marLeft w:val="0"/>
              <w:marRight w:val="0"/>
              <w:marTop w:val="0"/>
              <w:marBottom w:val="0"/>
              <w:divBdr>
                <w:top w:val="none" w:sz="0" w:space="0" w:color="auto"/>
                <w:left w:val="none" w:sz="0" w:space="0" w:color="auto"/>
                <w:bottom w:val="none" w:sz="0" w:space="0" w:color="auto"/>
                <w:right w:val="none" w:sz="0" w:space="0" w:color="auto"/>
              </w:divBdr>
            </w:div>
          </w:divsChild>
        </w:div>
        <w:div w:id="1550873788">
          <w:marLeft w:val="0"/>
          <w:marRight w:val="0"/>
          <w:marTop w:val="0"/>
          <w:marBottom w:val="0"/>
          <w:divBdr>
            <w:top w:val="none" w:sz="0" w:space="0" w:color="auto"/>
            <w:left w:val="none" w:sz="0" w:space="0" w:color="auto"/>
            <w:bottom w:val="none" w:sz="0" w:space="0" w:color="auto"/>
            <w:right w:val="none" w:sz="0" w:space="0" w:color="auto"/>
          </w:divBdr>
          <w:divsChild>
            <w:div w:id="1479612907">
              <w:marLeft w:val="0"/>
              <w:marRight w:val="0"/>
              <w:marTop w:val="0"/>
              <w:marBottom w:val="0"/>
              <w:divBdr>
                <w:top w:val="none" w:sz="0" w:space="0" w:color="auto"/>
                <w:left w:val="none" w:sz="0" w:space="0" w:color="auto"/>
                <w:bottom w:val="none" w:sz="0" w:space="0" w:color="auto"/>
                <w:right w:val="none" w:sz="0" w:space="0" w:color="auto"/>
              </w:divBdr>
            </w:div>
          </w:divsChild>
        </w:div>
        <w:div w:id="1646617397">
          <w:marLeft w:val="0"/>
          <w:marRight w:val="0"/>
          <w:marTop w:val="0"/>
          <w:marBottom w:val="0"/>
          <w:divBdr>
            <w:top w:val="none" w:sz="0" w:space="0" w:color="auto"/>
            <w:left w:val="none" w:sz="0" w:space="0" w:color="auto"/>
            <w:bottom w:val="none" w:sz="0" w:space="0" w:color="auto"/>
            <w:right w:val="none" w:sz="0" w:space="0" w:color="auto"/>
          </w:divBdr>
          <w:divsChild>
            <w:div w:id="704866774">
              <w:marLeft w:val="0"/>
              <w:marRight w:val="0"/>
              <w:marTop w:val="0"/>
              <w:marBottom w:val="0"/>
              <w:divBdr>
                <w:top w:val="none" w:sz="0" w:space="0" w:color="auto"/>
                <w:left w:val="none" w:sz="0" w:space="0" w:color="auto"/>
                <w:bottom w:val="none" w:sz="0" w:space="0" w:color="auto"/>
                <w:right w:val="none" w:sz="0" w:space="0" w:color="auto"/>
              </w:divBdr>
            </w:div>
            <w:div w:id="1612514631">
              <w:marLeft w:val="0"/>
              <w:marRight w:val="0"/>
              <w:marTop w:val="0"/>
              <w:marBottom w:val="0"/>
              <w:divBdr>
                <w:top w:val="none" w:sz="0" w:space="0" w:color="auto"/>
                <w:left w:val="none" w:sz="0" w:space="0" w:color="auto"/>
                <w:bottom w:val="none" w:sz="0" w:space="0" w:color="auto"/>
                <w:right w:val="none" w:sz="0" w:space="0" w:color="auto"/>
              </w:divBdr>
            </w:div>
            <w:div w:id="1810514782">
              <w:marLeft w:val="0"/>
              <w:marRight w:val="0"/>
              <w:marTop w:val="0"/>
              <w:marBottom w:val="0"/>
              <w:divBdr>
                <w:top w:val="none" w:sz="0" w:space="0" w:color="auto"/>
                <w:left w:val="none" w:sz="0" w:space="0" w:color="auto"/>
                <w:bottom w:val="none" w:sz="0" w:space="0" w:color="auto"/>
                <w:right w:val="none" w:sz="0" w:space="0" w:color="auto"/>
              </w:divBdr>
            </w:div>
            <w:div w:id="1985353851">
              <w:marLeft w:val="0"/>
              <w:marRight w:val="0"/>
              <w:marTop w:val="0"/>
              <w:marBottom w:val="0"/>
              <w:divBdr>
                <w:top w:val="none" w:sz="0" w:space="0" w:color="auto"/>
                <w:left w:val="none" w:sz="0" w:space="0" w:color="auto"/>
                <w:bottom w:val="none" w:sz="0" w:space="0" w:color="auto"/>
                <w:right w:val="none" w:sz="0" w:space="0" w:color="auto"/>
              </w:divBdr>
            </w:div>
          </w:divsChild>
        </w:div>
        <w:div w:id="1688093834">
          <w:marLeft w:val="0"/>
          <w:marRight w:val="0"/>
          <w:marTop w:val="0"/>
          <w:marBottom w:val="0"/>
          <w:divBdr>
            <w:top w:val="none" w:sz="0" w:space="0" w:color="auto"/>
            <w:left w:val="none" w:sz="0" w:space="0" w:color="auto"/>
            <w:bottom w:val="none" w:sz="0" w:space="0" w:color="auto"/>
            <w:right w:val="none" w:sz="0" w:space="0" w:color="auto"/>
          </w:divBdr>
          <w:divsChild>
            <w:div w:id="1761022436">
              <w:marLeft w:val="0"/>
              <w:marRight w:val="0"/>
              <w:marTop w:val="0"/>
              <w:marBottom w:val="0"/>
              <w:divBdr>
                <w:top w:val="none" w:sz="0" w:space="0" w:color="auto"/>
                <w:left w:val="none" w:sz="0" w:space="0" w:color="auto"/>
                <w:bottom w:val="none" w:sz="0" w:space="0" w:color="auto"/>
                <w:right w:val="none" w:sz="0" w:space="0" w:color="auto"/>
              </w:divBdr>
            </w:div>
          </w:divsChild>
        </w:div>
        <w:div w:id="2026786816">
          <w:marLeft w:val="0"/>
          <w:marRight w:val="0"/>
          <w:marTop w:val="0"/>
          <w:marBottom w:val="0"/>
          <w:divBdr>
            <w:top w:val="none" w:sz="0" w:space="0" w:color="auto"/>
            <w:left w:val="none" w:sz="0" w:space="0" w:color="auto"/>
            <w:bottom w:val="none" w:sz="0" w:space="0" w:color="auto"/>
            <w:right w:val="none" w:sz="0" w:space="0" w:color="auto"/>
          </w:divBdr>
          <w:divsChild>
            <w:div w:id="10076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7582">
      <w:bodyDiv w:val="1"/>
      <w:marLeft w:val="0"/>
      <w:marRight w:val="0"/>
      <w:marTop w:val="0"/>
      <w:marBottom w:val="0"/>
      <w:divBdr>
        <w:top w:val="none" w:sz="0" w:space="0" w:color="auto"/>
        <w:left w:val="none" w:sz="0" w:space="0" w:color="auto"/>
        <w:bottom w:val="none" w:sz="0" w:space="0" w:color="auto"/>
        <w:right w:val="none" w:sz="0" w:space="0" w:color="auto"/>
      </w:divBdr>
    </w:div>
    <w:div w:id="1829396007">
      <w:bodyDiv w:val="1"/>
      <w:marLeft w:val="0"/>
      <w:marRight w:val="0"/>
      <w:marTop w:val="0"/>
      <w:marBottom w:val="0"/>
      <w:divBdr>
        <w:top w:val="none" w:sz="0" w:space="0" w:color="auto"/>
        <w:left w:val="none" w:sz="0" w:space="0" w:color="auto"/>
        <w:bottom w:val="none" w:sz="0" w:space="0" w:color="auto"/>
        <w:right w:val="none" w:sz="0" w:space="0" w:color="auto"/>
      </w:divBdr>
    </w:div>
    <w:div w:id="1829587769">
      <w:bodyDiv w:val="1"/>
      <w:marLeft w:val="0"/>
      <w:marRight w:val="0"/>
      <w:marTop w:val="0"/>
      <w:marBottom w:val="0"/>
      <w:divBdr>
        <w:top w:val="none" w:sz="0" w:space="0" w:color="auto"/>
        <w:left w:val="none" w:sz="0" w:space="0" w:color="auto"/>
        <w:bottom w:val="none" w:sz="0" w:space="0" w:color="auto"/>
        <w:right w:val="none" w:sz="0" w:space="0" w:color="auto"/>
      </w:divBdr>
    </w:div>
    <w:div w:id="1838690002">
      <w:bodyDiv w:val="1"/>
      <w:marLeft w:val="0"/>
      <w:marRight w:val="0"/>
      <w:marTop w:val="0"/>
      <w:marBottom w:val="0"/>
      <w:divBdr>
        <w:top w:val="none" w:sz="0" w:space="0" w:color="auto"/>
        <w:left w:val="none" w:sz="0" w:space="0" w:color="auto"/>
        <w:bottom w:val="none" w:sz="0" w:space="0" w:color="auto"/>
        <w:right w:val="none" w:sz="0" w:space="0" w:color="auto"/>
      </w:divBdr>
    </w:div>
    <w:div w:id="1840080541">
      <w:bodyDiv w:val="1"/>
      <w:marLeft w:val="0"/>
      <w:marRight w:val="0"/>
      <w:marTop w:val="0"/>
      <w:marBottom w:val="0"/>
      <w:divBdr>
        <w:top w:val="none" w:sz="0" w:space="0" w:color="auto"/>
        <w:left w:val="none" w:sz="0" w:space="0" w:color="auto"/>
        <w:bottom w:val="none" w:sz="0" w:space="0" w:color="auto"/>
        <w:right w:val="none" w:sz="0" w:space="0" w:color="auto"/>
      </w:divBdr>
    </w:div>
    <w:div w:id="1844123217">
      <w:bodyDiv w:val="1"/>
      <w:marLeft w:val="0"/>
      <w:marRight w:val="0"/>
      <w:marTop w:val="0"/>
      <w:marBottom w:val="0"/>
      <w:divBdr>
        <w:top w:val="none" w:sz="0" w:space="0" w:color="auto"/>
        <w:left w:val="none" w:sz="0" w:space="0" w:color="auto"/>
        <w:bottom w:val="none" w:sz="0" w:space="0" w:color="auto"/>
        <w:right w:val="none" w:sz="0" w:space="0" w:color="auto"/>
      </w:divBdr>
    </w:div>
    <w:div w:id="1850752519">
      <w:bodyDiv w:val="1"/>
      <w:marLeft w:val="0"/>
      <w:marRight w:val="0"/>
      <w:marTop w:val="0"/>
      <w:marBottom w:val="0"/>
      <w:divBdr>
        <w:top w:val="none" w:sz="0" w:space="0" w:color="auto"/>
        <w:left w:val="none" w:sz="0" w:space="0" w:color="auto"/>
        <w:bottom w:val="none" w:sz="0" w:space="0" w:color="auto"/>
        <w:right w:val="none" w:sz="0" w:space="0" w:color="auto"/>
      </w:divBdr>
    </w:div>
    <w:div w:id="1853912383">
      <w:bodyDiv w:val="1"/>
      <w:marLeft w:val="0"/>
      <w:marRight w:val="0"/>
      <w:marTop w:val="0"/>
      <w:marBottom w:val="0"/>
      <w:divBdr>
        <w:top w:val="none" w:sz="0" w:space="0" w:color="auto"/>
        <w:left w:val="none" w:sz="0" w:space="0" w:color="auto"/>
        <w:bottom w:val="none" w:sz="0" w:space="0" w:color="auto"/>
        <w:right w:val="none" w:sz="0" w:space="0" w:color="auto"/>
      </w:divBdr>
    </w:div>
    <w:div w:id="1868448550">
      <w:bodyDiv w:val="1"/>
      <w:marLeft w:val="0"/>
      <w:marRight w:val="0"/>
      <w:marTop w:val="0"/>
      <w:marBottom w:val="0"/>
      <w:divBdr>
        <w:top w:val="none" w:sz="0" w:space="0" w:color="auto"/>
        <w:left w:val="none" w:sz="0" w:space="0" w:color="auto"/>
        <w:bottom w:val="none" w:sz="0" w:space="0" w:color="auto"/>
        <w:right w:val="none" w:sz="0" w:space="0" w:color="auto"/>
      </w:divBdr>
    </w:div>
    <w:div w:id="1868906890">
      <w:bodyDiv w:val="1"/>
      <w:marLeft w:val="0"/>
      <w:marRight w:val="0"/>
      <w:marTop w:val="0"/>
      <w:marBottom w:val="0"/>
      <w:divBdr>
        <w:top w:val="none" w:sz="0" w:space="0" w:color="auto"/>
        <w:left w:val="none" w:sz="0" w:space="0" w:color="auto"/>
        <w:bottom w:val="none" w:sz="0" w:space="0" w:color="auto"/>
        <w:right w:val="none" w:sz="0" w:space="0" w:color="auto"/>
      </w:divBdr>
    </w:div>
    <w:div w:id="1870609062">
      <w:bodyDiv w:val="1"/>
      <w:marLeft w:val="0"/>
      <w:marRight w:val="0"/>
      <w:marTop w:val="0"/>
      <w:marBottom w:val="0"/>
      <w:divBdr>
        <w:top w:val="none" w:sz="0" w:space="0" w:color="auto"/>
        <w:left w:val="none" w:sz="0" w:space="0" w:color="auto"/>
        <w:bottom w:val="none" w:sz="0" w:space="0" w:color="auto"/>
        <w:right w:val="none" w:sz="0" w:space="0" w:color="auto"/>
      </w:divBdr>
    </w:div>
    <w:div w:id="1873422235">
      <w:bodyDiv w:val="1"/>
      <w:marLeft w:val="0"/>
      <w:marRight w:val="0"/>
      <w:marTop w:val="0"/>
      <w:marBottom w:val="0"/>
      <w:divBdr>
        <w:top w:val="none" w:sz="0" w:space="0" w:color="auto"/>
        <w:left w:val="none" w:sz="0" w:space="0" w:color="auto"/>
        <w:bottom w:val="none" w:sz="0" w:space="0" w:color="auto"/>
        <w:right w:val="none" w:sz="0" w:space="0" w:color="auto"/>
      </w:divBdr>
    </w:div>
    <w:div w:id="1875073857">
      <w:bodyDiv w:val="1"/>
      <w:marLeft w:val="0"/>
      <w:marRight w:val="0"/>
      <w:marTop w:val="0"/>
      <w:marBottom w:val="0"/>
      <w:divBdr>
        <w:top w:val="none" w:sz="0" w:space="0" w:color="auto"/>
        <w:left w:val="none" w:sz="0" w:space="0" w:color="auto"/>
        <w:bottom w:val="none" w:sz="0" w:space="0" w:color="auto"/>
        <w:right w:val="none" w:sz="0" w:space="0" w:color="auto"/>
      </w:divBdr>
      <w:divsChild>
        <w:div w:id="107630753">
          <w:marLeft w:val="0"/>
          <w:marRight w:val="0"/>
          <w:marTop w:val="0"/>
          <w:marBottom w:val="0"/>
          <w:divBdr>
            <w:top w:val="none" w:sz="0" w:space="0" w:color="auto"/>
            <w:left w:val="none" w:sz="0" w:space="0" w:color="auto"/>
            <w:bottom w:val="none" w:sz="0" w:space="0" w:color="auto"/>
            <w:right w:val="none" w:sz="0" w:space="0" w:color="auto"/>
          </w:divBdr>
          <w:divsChild>
            <w:div w:id="752161783">
              <w:marLeft w:val="0"/>
              <w:marRight w:val="0"/>
              <w:marTop w:val="0"/>
              <w:marBottom w:val="0"/>
              <w:divBdr>
                <w:top w:val="none" w:sz="0" w:space="0" w:color="auto"/>
                <w:left w:val="none" w:sz="0" w:space="0" w:color="auto"/>
                <w:bottom w:val="none" w:sz="0" w:space="0" w:color="auto"/>
                <w:right w:val="none" w:sz="0" w:space="0" w:color="auto"/>
              </w:divBdr>
            </w:div>
          </w:divsChild>
        </w:div>
        <w:div w:id="203253288">
          <w:marLeft w:val="0"/>
          <w:marRight w:val="0"/>
          <w:marTop w:val="0"/>
          <w:marBottom w:val="0"/>
          <w:divBdr>
            <w:top w:val="none" w:sz="0" w:space="0" w:color="auto"/>
            <w:left w:val="none" w:sz="0" w:space="0" w:color="auto"/>
            <w:bottom w:val="none" w:sz="0" w:space="0" w:color="auto"/>
            <w:right w:val="none" w:sz="0" w:space="0" w:color="auto"/>
          </w:divBdr>
          <w:divsChild>
            <w:div w:id="982662942">
              <w:marLeft w:val="0"/>
              <w:marRight w:val="0"/>
              <w:marTop w:val="0"/>
              <w:marBottom w:val="0"/>
              <w:divBdr>
                <w:top w:val="none" w:sz="0" w:space="0" w:color="auto"/>
                <w:left w:val="none" w:sz="0" w:space="0" w:color="auto"/>
                <w:bottom w:val="none" w:sz="0" w:space="0" w:color="auto"/>
                <w:right w:val="none" w:sz="0" w:space="0" w:color="auto"/>
              </w:divBdr>
            </w:div>
          </w:divsChild>
        </w:div>
        <w:div w:id="447816020">
          <w:marLeft w:val="0"/>
          <w:marRight w:val="0"/>
          <w:marTop w:val="0"/>
          <w:marBottom w:val="0"/>
          <w:divBdr>
            <w:top w:val="none" w:sz="0" w:space="0" w:color="auto"/>
            <w:left w:val="none" w:sz="0" w:space="0" w:color="auto"/>
            <w:bottom w:val="none" w:sz="0" w:space="0" w:color="auto"/>
            <w:right w:val="none" w:sz="0" w:space="0" w:color="auto"/>
          </w:divBdr>
          <w:divsChild>
            <w:div w:id="685642499">
              <w:marLeft w:val="0"/>
              <w:marRight w:val="0"/>
              <w:marTop w:val="0"/>
              <w:marBottom w:val="0"/>
              <w:divBdr>
                <w:top w:val="none" w:sz="0" w:space="0" w:color="auto"/>
                <w:left w:val="none" w:sz="0" w:space="0" w:color="auto"/>
                <w:bottom w:val="none" w:sz="0" w:space="0" w:color="auto"/>
                <w:right w:val="none" w:sz="0" w:space="0" w:color="auto"/>
              </w:divBdr>
            </w:div>
            <w:div w:id="1522354562">
              <w:marLeft w:val="0"/>
              <w:marRight w:val="0"/>
              <w:marTop w:val="0"/>
              <w:marBottom w:val="0"/>
              <w:divBdr>
                <w:top w:val="none" w:sz="0" w:space="0" w:color="auto"/>
                <w:left w:val="none" w:sz="0" w:space="0" w:color="auto"/>
                <w:bottom w:val="none" w:sz="0" w:space="0" w:color="auto"/>
                <w:right w:val="none" w:sz="0" w:space="0" w:color="auto"/>
              </w:divBdr>
            </w:div>
          </w:divsChild>
        </w:div>
        <w:div w:id="935871767">
          <w:marLeft w:val="0"/>
          <w:marRight w:val="0"/>
          <w:marTop w:val="0"/>
          <w:marBottom w:val="0"/>
          <w:divBdr>
            <w:top w:val="none" w:sz="0" w:space="0" w:color="auto"/>
            <w:left w:val="none" w:sz="0" w:space="0" w:color="auto"/>
            <w:bottom w:val="none" w:sz="0" w:space="0" w:color="auto"/>
            <w:right w:val="none" w:sz="0" w:space="0" w:color="auto"/>
          </w:divBdr>
          <w:divsChild>
            <w:div w:id="1309743274">
              <w:marLeft w:val="0"/>
              <w:marRight w:val="0"/>
              <w:marTop w:val="0"/>
              <w:marBottom w:val="0"/>
              <w:divBdr>
                <w:top w:val="none" w:sz="0" w:space="0" w:color="auto"/>
                <w:left w:val="none" w:sz="0" w:space="0" w:color="auto"/>
                <w:bottom w:val="none" w:sz="0" w:space="0" w:color="auto"/>
                <w:right w:val="none" w:sz="0" w:space="0" w:color="auto"/>
              </w:divBdr>
            </w:div>
          </w:divsChild>
        </w:div>
        <w:div w:id="1078792826">
          <w:marLeft w:val="0"/>
          <w:marRight w:val="0"/>
          <w:marTop w:val="0"/>
          <w:marBottom w:val="0"/>
          <w:divBdr>
            <w:top w:val="none" w:sz="0" w:space="0" w:color="auto"/>
            <w:left w:val="none" w:sz="0" w:space="0" w:color="auto"/>
            <w:bottom w:val="none" w:sz="0" w:space="0" w:color="auto"/>
            <w:right w:val="none" w:sz="0" w:space="0" w:color="auto"/>
          </w:divBdr>
          <w:divsChild>
            <w:div w:id="1008942573">
              <w:marLeft w:val="0"/>
              <w:marRight w:val="0"/>
              <w:marTop w:val="0"/>
              <w:marBottom w:val="0"/>
              <w:divBdr>
                <w:top w:val="none" w:sz="0" w:space="0" w:color="auto"/>
                <w:left w:val="none" w:sz="0" w:space="0" w:color="auto"/>
                <w:bottom w:val="none" w:sz="0" w:space="0" w:color="auto"/>
                <w:right w:val="none" w:sz="0" w:space="0" w:color="auto"/>
              </w:divBdr>
            </w:div>
          </w:divsChild>
        </w:div>
        <w:div w:id="1155954742">
          <w:marLeft w:val="0"/>
          <w:marRight w:val="0"/>
          <w:marTop w:val="0"/>
          <w:marBottom w:val="0"/>
          <w:divBdr>
            <w:top w:val="none" w:sz="0" w:space="0" w:color="auto"/>
            <w:left w:val="none" w:sz="0" w:space="0" w:color="auto"/>
            <w:bottom w:val="none" w:sz="0" w:space="0" w:color="auto"/>
            <w:right w:val="none" w:sz="0" w:space="0" w:color="auto"/>
          </w:divBdr>
          <w:divsChild>
            <w:div w:id="1301231752">
              <w:marLeft w:val="0"/>
              <w:marRight w:val="0"/>
              <w:marTop w:val="0"/>
              <w:marBottom w:val="0"/>
              <w:divBdr>
                <w:top w:val="none" w:sz="0" w:space="0" w:color="auto"/>
                <w:left w:val="none" w:sz="0" w:space="0" w:color="auto"/>
                <w:bottom w:val="none" w:sz="0" w:space="0" w:color="auto"/>
                <w:right w:val="none" w:sz="0" w:space="0" w:color="auto"/>
              </w:divBdr>
            </w:div>
            <w:div w:id="1370490206">
              <w:marLeft w:val="0"/>
              <w:marRight w:val="0"/>
              <w:marTop w:val="0"/>
              <w:marBottom w:val="0"/>
              <w:divBdr>
                <w:top w:val="none" w:sz="0" w:space="0" w:color="auto"/>
                <w:left w:val="none" w:sz="0" w:space="0" w:color="auto"/>
                <w:bottom w:val="none" w:sz="0" w:space="0" w:color="auto"/>
                <w:right w:val="none" w:sz="0" w:space="0" w:color="auto"/>
              </w:divBdr>
            </w:div>
            <w:div w:id="1618487374">
              <w:marLeft w:val="0"/>
              <w:marRight w:val="0"/>
              <w:marTop w:val="0"/>
              <w:marBottom w:val="0"/>
              <w:divBdr>
                <w:top w:val="none" w:sz="0" w:space="0" w:color="auto"/>
                <w:left w:val="none" w:sz="0" w:space="0" w:color="auto"/>
                <w:bottom w:val="none" w:sz="0" w:space="0" w:color="auto"/>
                <w:right w:val="none" w:sz="0" w:space="0" w:color="auto"/>
              </w:divBdr>
            </w:div>
          </w:divsChild>
        </w:div>
        <w:div w:id="1327054354">
          <w:marLeft w:val="0"/>
          <w:marRight w:val="0"/>
          <w:marTop w:val="0"/>
          <w:marBottom w:val="0"/>
          <w:divBdr>
            <w:top w:val="none" w:sz="0" w:space="0" w:color="auto"/>
            <w:left w:val="none" w:sz="0" w:space="0" w:color="auto"/>
            <w:bottom w:val="none" w:sz="0" w:space="0" w:color="auto"/>
            <w:right w:val="none" w:sz="0" w:space="0" w:color="auto"/>
          </w:divBdr>
          <w:divsChild>
            <w:div w:id="124935336">
              <w:marLeft w:val="0"/>
              <w:marRight w:val="0"/>
              <w:marTop w:val="0"/>
              <w:marBottom w:val="0"/>
              <w:divBdr>
                <w:top w:val="none" w:sz="0" w:space="0" w:color="auto"/>
                <w:left w:val="none" w:sz="0" w:space="0" w:color="auto"/>
                <w:bottom w:val="none" w:sz="0" w:space="0" w:color="auto"/>
                <w:right w:val="none" w:sz="0" w:space="0" w:color="auto"/>
              </w:divBdr>
            </w:div>
            <w:div w:id="1160315888">
              <w:marLeft w:val="0"/>
              <w:marRight w:val="0"/>
              <w:marTop w:val="0"/>
              <w:marBottom w:val="0"/>
              <w:divBdr>
                <w:top w:val="none" w:sz="0" w:space="0" w:color="auto"/>
                <w:left w:val="none" w:sz="0" w:space="0" w:color="auto"/>
                <w:bottom w:val="none" w:sz="0" w:space="0" w:color="auto"/>
                <w:right w:val="none" w:sz="0" w:space="0" w:color="auto"/>
              </w:divBdr>
            </w:div>
            <w:div w:id="1327440600">
              <w:marLeft w:val="0"/>
              <w:marRight w:val="0"/>
              <w:marTop w:val="0"/>
              <w:marBottom w:val="0"/>
              <w:divBdr>
                <w:top w:val="none" w:sz="0" w:space="0" w:color="auto"/>
                <w:left w:val="none" w:sz="0" w:space="0" w:color="auto"/>
                <w:bottom w:val="none" w:sz="0" w:space="0" w:color="auto"/>
                <w:right w:val="none" w:sz="0" w:space="0" w:color="auto"/>
              </w:divBdr>
            </w:div>
          </w:divsChild>
        </w:div>
        <w:div w:id="1471708257">
          <w:marLeft w:val="0"/>
          <w:marRight w:val="0"/>
          <w:marTop w:val="0"/>
          <w:marBottom w:val="0"/>
          <w:divBdr>
            <w:top w:val="none" w:sz="0" w:space="0" w:color="auto"/>
            <w:left w:val="none" w:sz="0" w:space="0" w:color="auto"/>
            <w:bottom w:val="none" w:sz="0" w:space="0" w:color="auto"/>
            <w:right w:val="none" w:sz="0" w:space="0" w:color="auto"/>
          </w:divBdr>
          <w:divsChild>
            <w:div w:id="1179007990">
              <w:marLeft w:val="0"/>
              <w:marRight w:val="0"/>
              <w:marTop w:val="0"/>
              <w:marBottom w:val="0"/>
              <w:divBdr>
                <w:top w:val="none" w:sz="0" w:space="0" w:color="auto"/>
                <w:left w:val="none" w:sz="0" w:space="0" w:color="auto"/>
                <w:bottom w:val="none" w:sz="0" w:space="0" w:color="auto"/>
                <w:right w:val="none" w:sz="0" w:space="0" w:color="auto"/>
              </w:divBdr>
            </w:div>
          </w:divsChild>
        </w:div>
        <w:div w:id="1576234679">
          <w:marLeft w:val="0"/>
          <w:marRight w:val="0"/>
          <w:marTop w:val="0"/>
          <w:marBottom w:val="0"/>
          <w:divBdr>
            <w:top w:val="none" w:sz="0" w:space="0" w:color="auto"/>
            <w:left w:val="none" w:sz="0" w:space="0" w:color="auto"/>
            <w:bottom w:val="none" w:sz="0" w:space="0" w:color="auto"/>
            <w:right w:val="none" w:sz="0" w:space="0" w:color="auto"/>
          </w:divBdr>
          <w:divsChild>
            <w:div w:id="326635674">
              <w:marLeft w:val="0"/>
              <w:marRight w:val="0"/>
              <w:marTop w:val="0"/>
              <w:marBottom w:val="0"/>
              <w:divBdr>
                <w:top w:val="none" w:sz="0" w:space="0" w:color="auto"/>
                <w:left w:val="none" w:sz="0" w:space="0" w:color="auto"/>
                <w:bottom w:val="none" w:sz="0" w:space="0" w:color="auto"/>
                <w:right w:val="none" w:sz="0" w:space="0" w:color="auto"/>
              </w:divBdr>
            </w:div>
            <w:div w:id="557672812">
              <w:marLeft w:val="0"/>
              <w:marRight w:val="0"/>
              <w:marTop w:val="0"/>
              <w:marBottom w:val="0"/>
              <w:divBdr>
                <w:top w:val="none" w:sz="0" w:space="0" w:color="auto"/>
                <w:left w:val="none" w:sz="0" w:space="0" w:color="auto"/>
                <w:bottom w:val="none" w:sz="0" w:space="0" w:color="auto"/>
                <w:right w:val="none" w:sz="0" w:space="0" w:color="auto"/>
              </w:divBdr>
            </w:div>
            <w:div w:id="1025407749">
              <w:marLeft w:val="0"/>
              <w:marRight w:val="0"/>
              <w:marTop w:val="0"/>
              <w:marBottom w:val="0"/>
              <w:divBdr>
                <w:top w:val="none" w:sz="0" w:space="0" w:color="auto"/>
                <w:left w:val="none" w:sz="0" w:space="0" w:color="auto"/>
                <w:bottom w:val="none" w:sz="0" w:space="0" w:color="auto"/>
                <w:right w:val="none" w:sz="0" w:space="0" w:color="auto"/>
              </w:divBdr>
            </w:div>
            <w:div w:id="1775125230">
              <w:marLeft w:val="0"/>
              <w:marRight w:val="0"/>
              <w:marTop w:val="0"/>
              <w:marBottom w:val="0"/>
              <w:divBdr>
                <w:top w:val="none" w:sz="0" w:space="0" w:color="auto"/>
                <w:left w:val="none" w:sz="0" w:space="0" w:color="auto"/>
                <w:bottom w:val="none" w:sz="0" w:space="0" w:color="auto"/>
                <w:right w:val="none" w:sz="0" w:space="0" w:color="auto"/>
              </w:divBdr>
            </w:div>
          </w:divsChild>
        </w:div>
        <w:div w:id="1808664904">
          <w:marLeft w:val="0"/>
          <w:marRight w:val="0"/>
          <w:marTop w:val="0"/>
          <w:marBottom w:val="0"/>
          <w:divBdr>
            <w:top w:val="none" w:sz="0" w:space="0" w:color="auto"/>
            <w:left w:val="none" w:sz="0" w:space="0" w:color="auto"/>
            <w:bottom w:val="none" w:sz="0" w:space="0" w:color="auto"/>
            <w:right w:val="none" w:sz="0" w:space="0" w:color="auto"/>
          </w:divBdr>
          <w:divsChild>
            <w:div w:id="1331299715">
              <w:marLeft w:val="0"/>
              <w:marRight w:val="0"/>
              <w:marTop w:val="0"/>
              <w:marBottom w:val="0"/>
              <w:divBdr>
                <w:top w:val="none" w:sz="0" w:space="0" w:color="auto"/>
                <w:left w:val="none" w:sz="0" w:space="0" w:color="auto"/>
                <w:bottom w:val="none" w:sz="0" w:space="0" w:color="auto"/>
                <w:right w:val="none" w:sz="0" w:space="0" w:color="auto"/>
              </w:divBdr>
            </w:div>
          </w:divsChild>
        </w:div>
        <w:div w:id="1883400932">
          <w:marLeft w:val="0"/>
          <w:marRight w:val="0"/>
          <w:marTop w:val="0"/>
          <w:marBottom w:val="0"/>
          <w:divBdr>
            <w:top w:val="none" w:sz="0" w:space="0" w:color="auto"/>
            <w:left w:val="none" w:sz="0" w:space="0" w:color="auto"/>
            <w:bottom w:val="none" w:sz="0" w:space="0" w:color="auto"/>
            <w:right w:val="none" w:sz="0" w:space="0" w:color="auto"/>
          </w:divBdr>
          <w:divsChild>
            <w:div w:id="1753118498">
              <w:marLeft w:val="0"/>
              <w:marRight w:val="0"/>
              <w:marTop w:val="0"/>
              <w:marBottom w:val="0"/>
              <w:divBdr>
                <w:top w:val="none" w:sz="0" w:space="0" w:color="auto"/>
                <w:left w:val="none" w:sz="0" w:space="0" w:color="auto"/>
                <w:bottom w:val="none" w:sz="0" w:space="0" w:color="auto"/>
                <w:right w:val="none" w:sz="0" w:space="0" w:color="auto"/>
              </w:divBdr>
            </w:div>
          </w:divsChild>
        </w:div>
        <w:div w:id="1914001968">
          <w:marLeft w:val="0"/>
          <w:marRight w:val="0"/>
          <w:marTop w:val="0"/>
          <w:marBottom w:val="0"/>
          <w:divBdr>
            <w:top w:val="none" w:sz="0" w:space="0" w:color="auto"/>
            <w:left w:val="none" w:sz="0" w:space="0" w:color="auto"/>
            <w:bottom w:val="none" w:sz="0" w:space="0" w:color="auto"/>
            <w:right w:val="none" w:sz="0" w:space="0" w:color="auto"/>
          </w:divBdr>
          <w:divsChild>
            <w:div w:id="1413159457">
              <w:marLeft w:val="0"/>
              <w:marRight w:val="0"/>
              <w:marTop w:val="0"/>
              <w:marBottom w:val="0"/>
              <w:divBdr>
                <w:top w:val="none" w:sz="0" w:space="0" w:color="auto"/>
                <w:left w:val="none" w:sz="0" w:space="0" w:color="auto"/>
                <w:bottom w:val="none" w:sz="0" w:space="0" w:color="auto"/>
                <w:right w:val="none" w:sz="0" w:space="0" w:color="auto"/>
              </w:divBdr>
            </w:div>
          </w:divsChild>
        </w:div>
        <w:div w:id="1919437184">
          <w:marLeft w:val="0"/>
          <w:marRight w:val="0"/>
          <w:marTop w:val="0"/>
          <w:marBottom w:val="0"/>
          <w:divBdr>
            <w:top w:val="none" w:sz="0" w:space="0" w:color="auto"/>
            <w:left w:val="none" w:sz="0" w:space="0" w:color="auto"/>
            <w:bottom w:val="none" w:sz="0" w:space="0" w:color="auto"/>
            <w:right w:val="none" w:sz="0" w:space="0" w:color="auto"/>
          </w:divBdr>
          <w:divsChild>
            <w:div w:id="509688168">
              <w:marLeft w:val="0"/>
              <w:marRight w:val="0"/>
              <w:marTop w:val="0"/>
              <w:marBottom w:val="0"/>
              <w:divBdr>
                <w:top w:val="none" w:sz="0" w:space="0" w:color="auto"/>
                <w:left w:val="none" w:sz="0" w:space="0" w:color="auto"/>
                <w:bottom w:val="none" w:sz="0" w:space="0" w:color="auto"/>
                <w:right w:val="none" w:sz="0" w:space="0" w:color="auto"/>
              </w:divBdr>
            </w:div>
          </w:divsChild>
        </w:div>
        <w:div w:id="1941834261">
          <w:marLeft w:val="0"/>
          <w:marRight w:val="0"/>
          <w:marTop w:val="0"/>
          <w:marBottom w:val="0"/>
          <w:divBdr>
            <w:top w:val="none" w:sz="0" w:space="0" w:color="auto"/>
            <w:left w:val="none" w:sz="0" w:space="0" w:color="auto"/>
            <w:bottom w:val="none" w:sz="0" w:space="0" w:color="auto"/>
            <w:right w:val="none" w:sz="0" w:space="0" w:color="auto"/>
          </w:divBdr>
          <w:divsChild>
            <w:div w:id="388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20983">
      <w:bodyDiv w:val="1"/>
      <w:marLeft w:val="0"/>
      <w:marRight w:val="0"/>
      <w:marTop w:val="0"/>
      <w:marBottom w:val="0"/>
      <w:divBdr>
        <w:top w:val="none" w:sz="0" w:space="0" w:color="auto"/>
        <w:left w:val="none" w:sz="0" w:space="0" w:color="auto"/>
        <w:bottom w:val="none" w:sz="0" w:space="0" w:color="auto"/>
        <w:right w:val="none" w:sz="0" w:space="0" w:color="auto"/>
      </w:divBdr>
    </w:div>
    <w:div w:id="1884369577">
      <w:bodyDiv w:val="1"/>
      <w:marLeft w:val="0"/>
      <w:marRight w:val="0"/>
      <w:marTop w:val="0"/>
      <w:marBottom w:val="0"/>
      <w:divBdr>
        <w:top w:val="none" w:sz="0" w:space="0" w:color="auto"/>
        <w:left w:val="none" w:sz="0" w:space="0" w:color="auto"/>
        <w:bottom w:val="none" w:sz="0" w:space="0" w:color="auto"/>
        <w:right w:val="none" w:sz="0" w:space="0" w:color="auto"/>
      </w:divBdr>
    </w:div>
    <w:div w:id="1889340482">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1893535060">
      <w:bodyDiv w:val="1"/>
      <w:marLeft w:val="0"/>
      <w:marRight w:val="0"/>
      <w:marTop w:val="0"/>
      <w:marBottom w:val="0"/>
      <w:divBdr>
        <w:top w:val="none" w:sz="0" w:space="0" w:color="auto"/>
        <w:left w:val="none" w:sz="0" w:space="0" w:color="auto"/>
        <w:bottom w:val="none" w:sz="0" w:space="0" w:color="auto"/>
        <w:right w:val="none" w:sz="0" w:space="0" w:color="auto"/>
      </w:divBdr>
    </w:div>
    <w:div w:id="1894926394">
      <w:bodyDiv w:val="1"/>
      <w:marLeft w:val="0"/>
      <w:marRight w:val="0"/>
      <w:marTop w:val="0"/>
      <w:marBottom w:val="0"/>
      <w:divBdr>
        <w:top w:val="none" w:sz="0" w:space="0" w:color="auto"/>
        <w:left w:val="none" w:sz="0" w:space="0" w:color="auto"/>
        <w:bottom w:val="none" w:sz="0" w:space="0" w:color="auto"/>
        <w:right w:val="none" w:sz="0" w:space="0" w:color="auto"/>
      </w:divBdr>
    </w:div>
    <w:div w:id="1895390134">
      <w:bodyDiv w:val="1"/>
      <w:marLeft w:val="0"/>
      <w:marRight w:val="0"/>
      <w:marTop w:val="0"/>
      <w:marBottom w:val="0"/>
      <w:divBdr>
        <w:top w:val="none" w:sz="0" w:space="0" w:color="auto"/>
        <w:left w:val="none" w:sz="0" w:space="0" w:color="auto"/>
        <w:bottom w:val="none" w:sz="0" w:space="0" w:color="auto"/>
        <w:right w:val="none" w:sz="0" w:space="0" w:color="auto"/>
      </w:divBdr>
      <w:divsChild>
        <w:div w:id="1785728317">
          <w:marLeft w:val="0"/>
          <w:marRight w:val="0"/>
          <w:marTop w:val="0"/>
          <w:marBottom w:val="0"/>
          <w:divBdr>
            <w:top w:val="none" w:sz="0" w:space="0" w:color="auto"/>
            <w:left w:val="none" w:sz="0" w:space="0" w:color="auto"/>
            <w:bottom w:val="none" w:sz="0" w:space="0" w:color="auto"/>
            <w:right w:val="none" w:sz="0" w:space="0" w:color="auto"/>
          </w:divBdr>
          <w:divsChild>
            <w:div w:id="1660190468">
              <w:marLeft w:val="0"/>
              <w:marRight w:val="0"/>
              <w:marTop w:val="0"/>
              <w:marBottom w:val="0"/>
              <w:divBdr>
                <w:top w:val="none" w:sz="0" w:space="0" w:color="auto"/>
                <w:left w:val="none" w:sz="0" w:space="0" w:color="auto"/>
                <w:bottom w:val="none" w:sz="0" w:space="0" w:color="auto"/>
                <w:right w:val="none" w:sz="0" w:space="0" w:color="auto"/>
              </w:divBdr>
              <w:divsChild>
                <w:div w:id="337389273">
                  <w:marLeft w:val="0"/>
                  <w:marRight w:val="0"/>
                  <w:marTop w:val="0"/>
                  <w:marBottom w:val="0"/>
                  <w:divBdr>
                    <w:top w:val="none" w:sz="0" w:space="0" w:color="auto"/>
                    <w:left w:val="none" w:sz="0" w:space="0" w:color="auto"/>
                    <w:bottom w:val="none" w:sz="0" w:space="0" w:color="auto"/>
                    <w:right w:val="none" w:sz="0" w:space="0" w:color="auto"/>
                  </w:divBdr>
                  <w:divsChild>
                    <w:div w:id="1145204010">
                      <w:marLeft w:val="0"/>
                      <w:marRight w:val="0"/>
                      <w:marTop w:val="0"/>
                      <w:marBottom w:val="0"/>
                      <w:divBdr>
                        <w:top w:val="none" w:sz="0" w:space="0" w:color="auto"/>
                        <w:left w:val="none" w:sz="0" w:space="0" w:color="auto"/>
                        <w:bottom w:val="none" w:sz="0" w:space="0" w:color="auto"/>
                        <w:right w:val="none" w:sz="0" w:space="0" w:color="auto"/>
                      </w:divBdr>
                      <w:divsChild>
                        <w:div w:id="123161810">
                          <w:marLeft w:val="0"/>
                          <w:marRight w:val="0"/>
                          <w:marTop w:val="0"/>
                          <w:marBottom w:val="0"/>
                          <w:divBdr>
                            <w:top w:val="none" w:sz="0" w:space="0" w:color="auto"/>
                            <w:left w:val="none" w:sz="0" w:space="0" w:color="auto"/>
                            <w:bottom w:val="none" w:sz="0" w:space="0" w:color="auto"/>
                            <w:right w:val="none" w:sz="0" w:space="0" w:color="auto"/>
                          </w:divBdr>
                          <w:divsChild>
                            <w:div w:id="1046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399">
      <w:bodyDiv w:val="1"/>
      <w:marLeft w:val="0"/>
      <w:marRight w:val="0"/>
      <w:marTop w:val="0"/>
      <w:marBottom w:val="0"/>
      <w:divBdr>
        <w:top w:val="none" w:sz="0" w:space="0" w:color="auto"/>
        <w:left w:val="none" w:sz="0" w:space="0" w:color="auto"/>
        <w:bottom w:val="none" w:sz="0" w:space="0" w:color="auto"/>
        <w:right w:val="none" w:sz="0" w:space="0" w:color="auto"/>
      </w:divBdr>
    </w:div>
    <w:div w:id="1900361258">
      <w:bodyDiv w:val="1"/>
      <w:marLeft w:val="0"/>
      <w:marRight w:val="0"/>
      <w:marTop w:val="0"/>
      <w:marBottom w:val="0"/>
      <w:divBdr>
        <w:top w:val="none" w:sz="0" w:space="0" w:color="auto"/>
        <w:left w:val="none" w:sz="0" w:space="0" w:color="auto"/>
        <w:bottom w:val="none" w:sz="0" w:space="0" w:color="auto"/>
        <w:right w:val="none" w:sz="0" w:space="0" w:color="auto"/>
      </w:divBdr>
    </w:div>
    <w:div w:id="1910454285">
      <w:bodyDiv w:val="1"/>
      <w:marLeft w:val="0"/>
      <w:marRight w:val="0"/>
      <w:marTop w:val="0"/>
      <w:marBottom w:val="0"/>
      <w:divBdr>
        <w:top w:val="none" w:sz="0" w:space="0" w:color="auto"/>
        <w:left w:val="none" w:sz="0" w:space="0" w:color="auto"/>
        <w:bottom w:val="none" w:sz="0" w:space="0" w:color="auto"/>
        <w:right w:val="none" w:sz="0" w:space="0" w:color="auto"/>
      </w:divBdr>
    </w:div>
    <w:div w:id="1911576463">
      <w:bodyDiv w:val="1"/>
      <w:marLeft w:val="0"/>
      <w:marRight w:val="0"/>
      <w:marTop w:val="0"/>
      <w:marBottom w:val="0"/>
      <w:divBdr>
        <w:top w:val="none" w:sz="0" w:space="0" w:color="auto"/>
        <w:left w:val="none" w:sz="0" w:space="0" w:color="auto"/>
        <w:bottom w:val="none" w:sz="0" w:space="0" w:color="auto"/>
        <w:right w:val="none" w:sz="0" w:space="0" w:color="auto"/>
      </w:divBdr>
    </w:div>
    <w:div w:id="1918442982">
      <w:bodyDiv w:val="1"/>
      <w:marLeft w:val="0"/>
      <w:marRight w:val="0"/>
      <w:marTop w:val="0"/>
      <w:marBottom w:val="0"/>
      <w:divBdr>
        <w:top w:val="none" w:sz="0" w:space="0" w:color="auto"/>
        <w:left w:val="none" w:sz="0" w:space="0" w:color="auto"/>
        <w:bottom w:val="none" w:sz="0" w:space="0" w:color="auto"/>
        <w:right w:val="none" w:sz="0" w:space="0" w:color="auto"/>
      </w:divBdr>
    </w:div>
    <w:div w:id="1924753179">
      <w:bodyDiv w:val="1"/>
      <w:marLeft w:val="0"/>
      <w:marRight w:val="0"/>
      <w:marTop w:val="0"/>
      <w:marBottom w:val="0"/>
      <w:divBdr>
        <w:top w:val="none" w:sz="0" w:space="0" w:color="auto"/>
        <w:left w:val="none" w:sz="0" w:space="0" w:color="auto"/>
        <w:bottom w:val="none" w:sz="0" w:space="0" w:color="auto"/>
        <w:right w:val="none" w:sz="0" w:space="0" w:color="auto"/>
      </w:divBdr>
    </w:div>
    <w:div w:id="1937012296">
      <w:bodyDiv w:val="1"/>
      <w:marLeft w:val="0"/>
      <w:marRight w:val="0"/>
      <w:marTop w:val="0"/>
      <w:marBottom w:val="0"/>
      <w:divBdr>
        <w:top w:val="none" w:sz="0" w:space="0" w:color="auto"/>
        <w:left w:val="none" w:sz="0" w:space="0" w:color="auto"/>
        <w:bottom w:val="none" w:sz="0" w:space="0" w:color="auto"/>
        <w:right w:val="none" w:sz="0" w:space="0" w:color="auto"/>
      </w:divBdr>
    </w:div>
    <w:div w:id="1942832538">
      <w:bodyDiv w:val="1"/>
      <w:marLeft w:val="0"/>
      <w:marRight w:val="0"/>
      <w:marTop w:val="0"/>
      <w:marBottom w:val="0"/>
      <w:divBdr>
        <w:top w:val="none" w:sz="0" w:space="0" w:color="auto"/>
        <w:left w:val="none" w:sz="0" w:space="0" w:color="auto"/>
        <w:bottom w:val="none" w:sz="0" w:space="0" w:color="auto"/>
        <w:right w:val="none" w:sz="0" w:space="0" w:color="auto"/>
      </w:divBdr>
    </w:div>
    <w:div w:id="1943416451">
      <w:bodyDiv w:val="1"/>
      <w:marLeft w:val="0"/>
      <w:marRight w:val="0"/>
      <w:marTop w:val="0"/>
      <w:marBottom w:val="0"/>
      <w:divBdr>
        <w:top w:val="none" w:sz="0" w:space="0" w:color="auto"/>
        <w:left w:val="none" w:sz="0" w:space="0" w:color="auto"/>
        <w:bottom w:val="none" w:sz="0" w:space="0" w:color="auto"/>
        <w:right w:val="none" w:sz="0" w:space="0" w:color="auto"/>
      </w:divBdr>
    </w:div>
    <w:div w:id="1945459861">
      <w:bodyDiv w:val="1"/>
      <w:marLeft w:val="0"/>
      <w:marRight w:val="0"/>
      <w:marTop w:val="0"/>
      <w:marBottom w:val="0"/>
      <w:divBdr>
        <w:top w:val="none" w:sz="0" w:space="0" w:color="auto"/>
        <w:left w:val="none" w:sz="0" w:space="0" w:color="auto"/>
        <w:bottom w:val="none" w:sz="0" w:space="0" w:color="auto"/>
        <w:right w:val="none" w:sz="0" w:space="0" w:color="auto"/>
      </w:divBdr>
    </w:div>
    <w:div w:id="1946619113">
      <w:bodyDiv w:val="1"/>
      <w:marLeft w:val="0"/>
      <w:marRight w:val="0"/>
      <w:marTop w:val="0"/>
      <w:marBottom w:val="0"/>
      <w:divBdr>
        <w:top w:val="none" w:sz="0" w:space="0" w:color="auto"/>
        <w:left w:val="none" w:sz="0" w:space="0" w:color="auto"/>
        <w:bottom w:val="none" w:sz="0" w:space="0" w:color="auto"/>
        <w:right w:val="none" w:sz="0" w:space="0" w:color="auto"/>
      </w:divBdr>
      <w:divsChild>
        <w:div w:id="1022783399">
          <w:marLeft w:val="0"/>
          <w:marRight w:val="0"/>
          <w:marTop w:val="0"/>
          <w:marBottom w:val="0"/>
          <w:divBdr>
            <w:top w:val="none" w:sz="0" w:space="0" w:color="auto"/>
            <w:left w:val="none" w:sz="0" w:space="0" w:color="auto"/>
            <w:bottom w:val="none" w:sz="0" w:space="0" w:color="auto"/>
            <w:right w:val="none" w:sz="0" w:space="0" w:color="auto"/>
          </w:divBdr>
        </w:div>
      </w:divsChild>
    </w:div>
    <w:div w:id="1953970937">
      <w:bodyDiv w:val="1"/>
      <w:marLeft w:val="0"/>
      <w:marRight w:val="0"/>
      <w:marTop w:val="0"/>
      <w:marBottom w:val="0"/>
      <w:divBdr>
        <w:top w:val="none" w:sz="0" w:space="0" w:color="auto"/>
        <w:left w:val="none" w:sz="0" w:space="0" w:color="auto"/>
        <w:bottom w:val="none" w:sz="0" w:space="0" w:color="auto"/>
        <w:right w:val="none" w:sz="0" w:space="0" w:color="auto"/>
      </w:divBdr>
    </w:div>
    <w:div w:id="1955290121">
      <w:bodyDiv w:val="1"/>
      <w:marLeft w:val="0"/>
      <w:marRight w:val="0"/>
      <w:marTop w:val="0"/>
      <w:marBottom w:val="0"/>
      <w:divBdr>
        <w:top w:val="none" w:sz="0" w:space="0" w:color="auto"/>
        <w:left w:val="none" w:sz="0" w:space="0" w:color="auto"/>
        <w:bottom w:val="none" w:sz="0" w:space="0" w:color="auto"/>
        <w:right w:val="none" w:sz="0" w:space="0" w:color="auto"/>
      </w:divBdr>
      <w:divsChild>
        <w:div w:id="761145607">
          <w:marLeft w:val="0"/>
          <w:marRight w:val="0"/>
          <w:marTop w:val="0"/>
          <w:marBottom w:val="0"/>
          <w:divBdr>
            <w:top w:val="none" w:sz="0" w:space="0" w:color="auto"/>
            <w:left w:val="none" w:sz="0" w:space="0" w:color="auto"/>
            <w:bottom w:val="none" w:sz="0" w:space="0" w:color="auto"/>
            <w:right w:val="none" w:sz="0" w:space="0" w:color="auto"/>
          </w:divBdr>
        </w:div>
      </w:divsChild>
    </w:div>
    <w:div w:id="1955361295">
      <w:bodyDiv w:val="1"/>
      <w:marLeft w:val="0"/>
      <w:marRight w:val="0"/>
      <w:marTop w:val="0"/>
      <w:marBottom w:val="0"/>
      <w:divBdr>
        <w:top w:val="none" w:sz="0" w:space="0" w:color="auto"/>
        <w:left w:val="none" w:sz="0" w:space="0" w:color="auto"/>
        <w:bottom w:val="none" w:sz="0" w:space="0" w:color="auto"/>
        <w:right w:val="none" w:sz="0" w:space="0" w:color="auto"/>
      </w:divBdr>
    </w:div>
    <w:div w:id="1961565028">
      <w:bodyDiv w:val="1"/>
      <w:marLeft w:val="0"/>
      <w:marRight w:val="0"/>
      <w:marTop w:val="0"/>
      <w:marBottom w:val="0"/>
      <w:divBdr>
        <w:top w:val="none" w:sz="0" w:space="0" w:color="auto"/>
        <w:left w:val="none" w:sz="0" w:space="0" w:color="auto"/>
        <w:bottom w:val="none" w:sz="0" w:space="0" w:color="auto"/>
        <w:right w:val="none" w:sz="0" w:space="0" w:color="auto"/>
      </w:divBdr>
    </w:div>
    <w:div w:id="1963608125">
      <w:bodyDiv w:val="1"/>
      <w:marLeft w:val="0"/>
      <w:marRight w:val="0"/>
      <w:marTop w:val="0"/>
      <w:marBottom w:val="0"/>
      <w:divBdr>
        <w:top w:val="none" w:sz="0" w:space="0" w:color="auto"/>
        <w:left w:val="none" w:sz="0" w:space="0" w:color="auto"/>
        <w:bottom w:val="none" w:sz="0" w:space="0" w:color="auto"/>
        <w:right w:val="none" w:sz="0" w:space="0" w:color="auto"/>
      </w:divBdr>
    </w:div>
    <w:div w:id="1964456025">
      <w:bodyDiv w:val="1"/>
      <w:marLeft w:val="0"/>
      <w:marRight w:val="0"/>
      <w:marTop w:val="0"/>
      <w:marBottom w:val="0"/>
      <w:divBdr>
        <w:top w:val="none" w:sz="0" w:space="0" w:color="auto"/>
        <w:left w:val="none" w:sz="0" w:space="0" w:color="auto"/>
        <w:bottom w:val="none" w:sz="0" w:space="0" w:color="auto"/>
        <w:right w:val="none" w:sz="0" w:space="0" w:color="auto"/>
      </w:divBdr>
    </w:div>
    <w:div w:id="1971085185">
      <w:bodyDiv w:val="1"/>
      <w:marLeft w:val="0"/>
      <w:marRight w:val="0"/>
      <w:marTop w:val="0"/>
      <w:marBottom w:val="0"/>
      <w:divBdr>
        <w:top w:val="none" w:sz="0" w:space="0" w:color="auto"/>
        <w:left w:val="none" w:sz="0" w:space="0" w:color="auto"/>
        <w:bottom w:val="none" w:sz="0" w:space="0" w:color="auto"/>
        <w:right w:val="none" w:sz="0" w:space="0" w:color="auto"/>
      </w:divBdr>
      <w:divsChild>
        <w:div w:id="63458153">
          <w:marLeft w:val="0"/>
          <w:marRight w:val="0"/>
          <w:marTop w:val="0"/>
          <w:marBottom w:val="0"/>
          <w:divBdr>
            <w:top w:val="none" w:sz="0" w:space="0" w:color="auto"/>
            <w:left w:val="none" w:sz="0" w:space="0" w:color="auto"/>
            <w:bottom w:val="none" w:sz="0" w:space="0" w:color="auto"/>
            <w:right w:val="none" w:sz="0" w:space="0" w:color="auto"/>
          </w:divBdr>
          <w:divsChild>
            <w:div w:id="709576215">
              <w:marLeft w:val="0"/>
              <w:marRight w:val="0"/>
              <w:marTop w:val="0"/>
              <w:marBottom w:val="0"/>
              <w:divBdr>
                <w:top w:val="none" w:sz="0" w:space="0" w:color="auto"/>
                <w:left w:val="none" w:sz="0" w:space="0" w:color="auto"/>
                <w:bottom w:val="none" w:sz="0" w:space="0" w:color="auto"/>
                <w:right w:val="none" w:sz="0" w:space="0" w:color="auto"/>
              </w:divBdr>
            </w:div>
          </w:divsChild>
        </w:div>
        <w:div w:id="135226295">
          <w:marLeft w:val="0"/>
          <w:marRight w:val="0"/>
          <w:marTop w:val="0"/>
          <w:marBottom w:val="0"/>
          <w:divBdr>
            <w:top w:val="none" w:sz="0" w:space="0" w:color="auto"/>
            <w:left w:val="none" w:sz="0" w:space="0" w:color="auto"/>
            <w:bottom w:val="none" w:sz="0" w:space="0" w:color="auto"/>
            <w:right w:val="none" w:sz="0" w:space="0" w:color="auto"/>
          </w:divBdr>
          <w:divsChild>
            <w:div w:id="361134929">
              <w:marLeft w:val="0"/>
              <w:marRight w:val="0"/>
              <w:marTop w:val="0"/>
              <w:marBottom w:val="0"/>
              <w:divBdr>
                <w:top w:val="none" w:sz="0" w:space="0" w:color="auto"/>
                <w:left w:val="none" w:sz="0" w:space="0" w:color="auto"/>
                <w:bottom w:val="none" w:sz="0" w:space="0" w:color="auto"/>
                <w:right w:val="none" w:sz="0" w:space="0" w:color="auto"/>
              </w:divBdr>
            </w:div>
          </w:divsChild>
        </w:div>
        <w:div w:id="238056991">
          <w:marLeft w:val="0"/>
          <w:marRight w:val="0"/>
          <w:marTop w:val="0"/>
          <w:marBottom w:val="0"/>
          <w:divBdr>
            <w:top w:val="none" w:sz="0" w:space="0" w:color="auto"/>
            <w:left w:val="none" w:sz="0" w:space="0" w:color="auto"/>
            <w:bottom w:val="none" w:sz="0" w:space="0" w:color="auto"/>
            <w:right w:val="none" w:sz="0" w:space="0" w:color="auto"/>
          </w:divBdr>
          <w:divsChild>
            <w:div w:id="1193423388">
              <w:marLeft w:val="0"/>
              <w:marRight w:val="0"/>
              <w:marTop w:val="0"/>
              <w:marBottom w:val="0"/>
              <w:divBdr>
                <w:top w:val="none" w:sz="0" w:space="0" w:color="auto"/>
                <w:left w:val="none" w:sz="0" w:space="0" w:color="auto"/>
                <w:bottom w:val="none" w:sz="0" w:space="0" w:color="auto"/>
                <w:right w:val="none" w:sz="0" w:space="0" w:color="auto"/>
              </w:divBdr>
            </w:div>
            <w:div w:id="1316760254">
              <w:marLeft w:val="0"/>
              <w:marRight w:val="0"/>
              <w:marTop w:val="0"/>
              <w:marBottom w:val="0"/>
              <w:divBdr>
                <w:top w:val="none" w:sz="0" w:space="0" w:color="auto"/>
                <w:left w:val="none" w:sz="0" w:space="0" w:color="auto"/>
                <w:bottom w:val="none" w:sz="0" w:space="0" w:color="auto"/>
                <w:right w:val="none" w:sz="0" w:space="0" w:color="auto"/>
              </w:divBdr>
            </w:div>
            <w:div w:id="1947150708">
              <w:marLeft w:val="0"/>
              <w:marRight w:val="0"/>
              <w:marTop w:val="0"/>
              <w:marBottom w:val="0"/>
              <w:divBdr>
                <w:top w:val="none" w:sz="0" w:space="0" w:color="auto"/>
                <w:left w:val="none" w:sz="0" w:space="0" w:color="auto"/>
                <w:bottom w:val="none" w:sz="0" w:space="0" w:color="auto"/>
                <w:right w:val="none" w:sz="0" w:space="0" w:color="auto"/>
              </w:divBdr>
            </w:div>
            <w:div w:id="1979988603">
              <w:marLeft w:val="0"/>
              <w:marRight w:val="0"/>
              <w:marTop w:val="0"/>
              <w:marBottom w:val="0"/>
              <w:divBdr>
                <w:top w:val="none" w:sz="0" w:space="0" w:color="auto"/>
                <w:left w:val="none" w:sz="0" w:space="0" w:color="auto"/>
                <w:bottom w:val="none" w:sz="0" w:space="0" w:color="auto"/>
                <w:right w:val="none" w:sz="0" w:space="0" w:color="auto"/>
              </w:divBdr>
            </w:div>
          </w:divsChild>
        </w:div>
        <w:div w:id="298658833">
          <w:marLeft w:val="0"/>
          <w:marRight w:val="0"/>
          <w:marTop w:val="0"/>
          <w:marBottom w:val="0"/>
          <w:divBdr>
            <w:top w:val="none" w:sz="0" w:space="0" w:color="auto"/>
            <w:left w:val="none" w:sz="0" w:space="0" w:color="auto"/>
            <w:bottom w:val="none" w:sz="0" w:space="0" w:color="auto"/>
            <w:right w:val="none" w:sz="0" w:space="0" w:color="auto"/>
          </w:divBdr>
          <w:divsChild>
            <w:div w:id="2113669718">
              <w:marLeft w:val="0"/>
              <w:marRight w:val="0"/>
              <w:marTop w:val="0"/>
              <w:marBottom w:val="0"/>
              <w:divBdr>
                <w:top w:val="none" w:sz="0" w:space="0" w:color="auto"/>
                <w:left w:val="none" w:sz="0" w:space="0" w:color="auto"/>
                <w:bottom w:val="none" w:sz="0" w:space="0" w:color="auto"/>
                <w:right w:val="none" w:sz="0" w:space="0" w:color="auto"/>
              </w:divBdr>
            </w:div>
          </w:divsChild>
        </w:div>
        <w:div w:id="348677402">
          <w:marLeft w:val="0"/>
          <w:marRight w:val="0"/>
          <w:marTop w:val="0"/>
          <w:marBottom w:val="0"/>
          <w:divBdr>
            <w:top w:val="none" w:sz="0" w:space="0" w:color="auto"/>
            <w:left w:val="none" w:sz="0" w:space="0" w:color="auto"/>
            <w:bottom w:val="none" w:sz="0" w:space="0" w:color="auto"/>
            <w:right w:val="none" w:sz="0" w:space="0" w:color="auto"/>
          </w:divBdr>
          <w:divsChild>
            <w:div w:id="875898167">
              <w:marLeft w:val="0"/>
              <w:marRight w:val="0"/>
              <w:marTop w:val="0"/>
              <w:marBottom w:val="0"/>
              <w:divBdr>
                <w:top w:val="none" w:sz="0" w:space="0" w:color="auto"/>
                <w:left w:val="none" w:sz="0" w:space="0" w:color="auto"/>
                <w:bottom w:val="none" w:sz="0" w:space="0" w:color="auto"/>
                <w:right w:val="none" w:sz="0" w:space="0" w:color="auto"/>
              </w:divBdr>
            </w:div>
            <w:div w:id="1353142704">
              <w:marLeft w:val="0"/>
              <w:marRight w:val="0"/>
              <w:marTop w:val="0"/>
              <w:marBottom w:val="0"/>
              <w:divBdr>
                <w:top w:val="none" w:sz="0" w:space="0" w:color="auto"/>
                <w:left w:val="none" w:sz="0" w:space="0" w:color="auto"/>
                <w:bottom w:val="none" w:sz="0" w:space="0" w:color="auto"/>
                <w:right w:val="none" w:sz="0" w:space="0" w:color="auto"/>
              </w:divBdr>
            </w:div>
            <w:div w:id="1656105067">
              <w:marLeft w:val="0"/>
              <w:marRight w:val="0"/>
              <w:marTop w:val="0"/>
              <w:marBottom w:val="0"/>
              <w:divBdr>
                <w:top w:val="none" w:sz="0" w:space="0" w:color="auto"/>
                <w:left w:val="none" w:sz="0" w:space="0" w:color="auto"/>
                <w:bottom w:val="none" w:sz="0" w:space="0" w:color="auto"/>
                <w:right w:val="none" w:sz="0" w:space="0" w:color="auto"/>
              </w:divBdr>
            </w:div>
            <w:div w:id="2027360332">
              <w:marLeft w:val="0"/>
              <w:marRight w:val="0"/>
              <w:marTop w:val="0"/>
              <w:marBottom w:val="0"/>
              <w:divBdr>
                <w:top w:val="none" w:sz="0" w:space="0" w:color="auto"/>
                <w:left w:val="none" w:sz="0" w:space="0" w:color="auto"/>
                <w:bottom w:val="none" w:sz="0" w:space="0" w:color="auto"/>
                <w:right w:val="none" w:sz="0" w:space="0" w:color="auto"/>
              </w:divBdr>
            </w:div>
          </w:divsChild>
        </w:div>
        <w:div w:id="455880739">
          <w:marLeft w:val="0"/>
          <w:marRight w:val="0"/>
          <w:marTop w:val="0"/>
          <w:marBottom w:val="0"/>
          <w:divBdr>
            <w:top w:val="none" w:sz="0" w:space="0" w:color="auto"/>
            <w:left w:val="none" w:sz="0" w:space="0" w:color="auto"/>
            <w:bottom w:val="none" w:sz="0" w:space="0" w:color="auto"/>
            <w:right w:val="none" w:sz="0" w:space="0" w:color="auto"/>
          </w:divBdr>
          <w:divsChild>
            <w:div w:id="554513689">
              <w:marLeft w:val="0"/>
              <w:marRight w:val="0"/>
              <w:marTop w:val="0"/>
              <w:marBottom w:val="0"/>
              <w:divBdr>
                <w:top w:val="none" w:sz="0" w:space="0" w:color="auto"/>
                <w:left w:val="none" w:sz="0" w:space="0" w:color="auto"/>
                <w:bottom w:val="none" w:sz="0" w:space="0" w:color="auto"/>
                <w:right w:val="none" w:sz="0" w:space="0" w:color="auto"/>
              </w:divBdr>
            </w:div>
          </w:divsChild>
        </w:div>
        <w:div w:id="516620931">
          <w:marLeft w:val="0"/>
          <w:marRight w:val="0"/>
          <w:marTop w:val="0"/>
          <w:marBottom w:val="0"/>
          <w:divBdr>
            <w:top w:val="none" w:sz="0" w:space="0" w:color="auto"/>
            <w:left w:val="none" w:sz="0" w:space="0" w:color="auto"/>
            <w:bottom w:val="none" w:sz="0" w:space="0" w:color="auto"/>
            <w:right w:val="none" w:sz="0" w:space="0" w:color="auto"/>
          </w:divBdr>
          <w:divsChild>
            <w:div w:id="280184888">
              <w:marLeft w:val="0"/>
              <w:marRight w:val="0"/>
              <w:marTop w:val="0"/>
              <w:marBottom w:val="0"/>
              <w:divBdr>
                <w:top w:val="none" w:sz="0" w:space="0" w:color="auto"/>
                <w:left w:val="none" w:sz="0" w:space="0" w:color="auto"/>
                <w:bottom w:val="none" w:sz="0" w:space="0" w:color="auto"/>
                <w:right w:val="none" w:sz="0" w:space="0" w:color="auto"/>
              </w:divBdr>
            </w:div>
          </w:divsChild>
        </w:div>
        <w:div w:id="536937779">
          <w:marLeft w:val="0"/>
          <w:marRight w:val="0"/>
          <w:marTop w:val="0"/>
          <w:marBottom w:val="0"/>
          <w:divBdr>
            <w:top w:val="none" w:sz="0" w:space="0" w:color="auto"/>
            <w:left w:val="none" w:sz="0" w:space="0" w:color="auto"/>
            <w:bottom w:val="none" w:sz="0" w:space="0" w:color="auto"/>
            <w:right w:val="none" w:sz="0" w:space="0" w:color="auto"/>
          </w:divBdr>
          <w:divsChild>
            <w:div w:id="1345207381">
              <w:marLeft w:val="0"/>
              <w:marRight w:val="0"/>
              <w:marTop w:val="0"/>
              <w:marBottom w:val="0"/>
              <w:divBdr>
                <w:top w:val="none" w:sz="0" w:space="0" w:color="auto"/>
                <w:left w:val="none" w:sz="0" w:space="0" w:color="auto"/>
                <w:bottom w:val="none" w:sz="0" w:space="0" w:color="auto"/>
                <w:right w:val="none" w:sz="0" w:space="0" w:color="auto"/>
              </w:divBdr>
            </w:div>
          </w:divsChild>
        </w:div>
        <w:div w:id="662777492">
          <w:marLeft w:val="0"/>
          <w:marRight w:val="0"/>
          <w:marTop w:val="0"/>
          <w:marBottom w:val="0"/>
          <w:divBdr>
            <w:top w:val="none" w:sz="0" w:space="0" w:color="auto"/>
            <w:left w:val="none" w:sz="0" w:space="0" w:color="auto"/>
            <w:bottom w:val="none" w:sz="0" w:space="0" w:color="auto"/>
            <w:right w:val="none" w:sz="0" w:space="0" w:color="auto"/>
          </w:divBdr>
          <w:divsChild>
            <w:div w:id="817451922">
              <w:marLeft w:val="0"/>
              <w:marRight w:val="0"/>
              <w:marTop w:val="0"/>
              <w:marBottom w:val="0"/>
              <w:divBdr>
                <w:top w:val="none" w:sz="0" w:space="0" w:color="auto"/>
                <w:left w:val="none" w:sz="0" w:space="0" w:color="auto"/>
                <w:bottom w:val="none" w:sz="0" w:space="0" w:color="auto"/>
                <w:right w:val="none" w:sz="0" w:space="0" w:color="auto"/>
              </w:divBdr>
            </w:div>
          </w:divsChild>
        </w:div>
        <w:div w:id="822699952">
          <w:marLeft w:val="0"/>
          <w:marRight w:val="0"/>
          <w:marTop w:val="0"/>
          <w:marBottom w:val="0"/>
          <w:divBdr>
            <w:top w:val="none" w:sz="0" w:space="0" w:color="auto"/>
            <w:left w:val="none" w:sz="0" w:space="0" w:color="auto"/>
            <w:bottom w:val="none" w:sz="0" w:space="0" w:color="auto"/>
            <w:right w:val="none" w:sz="0" w:space="0" w:color="auto"/>
          </w:divBdr>
          <w:divsChild>
            <w:div w:id="701172274">
              <w:marLeft w:val="0"/>
              <w:marRight w:val="0"/>
              <w:marTop w:val="0"/>
              <w:marBottom w:val="0"/>
              <w:divBdr>
                <w:top w:val="none" w:sz="0" w:space="0" w:color="auto"/>
                <w:left w:val="none" w:sz="0" w:space="0" w:color="auto"/>
                <w:bottom w:val="none" w:sz="0" w:space="0" w:color="auto"/>
                <w:right w:val="none" w:sz="0" w:space="0" w:color="auto"/>
              </w:divBdr>
            </w:div>
          </w:divsChild>
        </w:div>
        <w:div w:id="944194759">
          <w:marLeft w:val="0"/>
          <w:marRight w:val="0"/>
          <w:marTop w:val="0"/>
          <w:marBottom w:val="0"/>
          <w:divBdr>
            <w:top w:val="none" w:sz="0" w:space="0" w:color="auto"/>
            <w:left w:val="none" w:sz="0" w:space="0" w:color="auto"/>
            <w:bottom w:val="none" w:sz="0" w:space="0" w:color="auto"/>
            <w:right w:val="none" w:sz="0" w:space="0" w:color="auto"/>
          </w:divBdr>
          <w:divsChild>
            <w:div w:id="325399687">
              <w:marLeft w:val="0"/>
              <w:marRight w:val="0"/>
              <w:marTop w:val="0"/>
              <w:marBottom w:val="0"/>
              <w:divBdr>
                <w:top w:val="none" w:sz="0" w:space="0" w:color="auto"/>
                <w:left w:val="none" w:sz="0" w:space="0" w:color="auto"/>
                <w:bottom w:val="none" w:sz="0" w:space="0" w:color="auto"/>
                <w:right w:val="none" w:sz="0" w:space="0" w:color="auto"/>
              </w:divBdr>
            </w:div>
            <w:div w:id="358507355">
              <w:marLeft w:val="0"/>
              <w:marRight w:val="0"/>
              <w:marTop w:val="0"/>
              <w:marBottom w:val="0"/>
              <w:divBdr>
                <w:top w:val="none" w:sz="0" w:space="0" w:color="auto"/>
                <w:left w:val="none" w:sz="0" w:space="0" w:color="auto"/>
                <w:bottom w:val="none" w:sz="0" w:space="0" w:color="auto"/>
                <w:right w:val="none" w:sz="0" w:space="0" w:color="auto"/>
              </w:divBdr>
            </w:div>
            <w:div w:id="1082338734">
              <w:marLeft w:val="0"/>
              <w:marRight w:val="0"/>
              <w:marTop w:val="0"/>
              <w:marBottom w:val="0"/>
              <w:divBdr>
                <w:top w:val="none" w:sz="0" w:space="0" w:color="auto"/>
                <w:left w:val="none" w:sz="0" w:space="0" w:color="auto"/>
                <w:bottom w:val="none" w:sz="0" w:space="0" w:color="auto"/>
                <w:right w:val="none" w:sz="0" w:space="0" w:color="auto"/>
              </w:divBdr>
            </w:div>
            <w:div w:id="2012639984">
              <w:marLeft w:val="0"/>
              <w:marRight w:val="0"/>
              <w:marTop w:val="0"/>
              <w:marBottom w:val="0"/>
              <w:divBdr>
                <w:top w:val="none" w:sz="0" w:space="0" w:color="auto"/>
                <w:left w:val="none" w:sz="0" w:space="0" w:color="auto"/>
                <w:bottom w:val="none" w:sz="0" w:space="0" w:color="auto"/>
                <w:right w:val="none" w:sz="0" w:space="0" w:color="auto"/>
              </w:divBdr>
            </w:div>
          </w:divsChild>
        </w:div>
        <w:div w:id="953561327">
          <w:marLeft w:val="0"/>
          <w:marRight w:val="0"/>
          <w:marTop w:val="0"/>
          <w:marBottom w:val="0"/>
          <w:divBdr>
            <w:top w:val="none" w:sz="0" w:space="0" w:color="auto"/>
            <w:left w:val="none" w:sz="0" w:space="0" w:color="auto"/>
            <w:bottom w:val="none" w:sz="0" w:space="0" w:color="auto"/>
            <w:right w:val="none" w:sz="0" w:space="0" w:color="auto"/>
          </w:divBdr>
          <w:divsChild>
            <w:div w:id="2084525444">
              <w:marLeft w:val="0"/>
              <w:marRight w:val="0"/>
              <w:marTop w:val="0"/>
              <w:marBottom w:val="0"/>
              <w:divBdr>
                <w:top w:val="none" w:sz="0" w:space="0" w:color="auto"/>
                <w:left w:val="none" w:sz="0" w:space="0" w:color="auto"/>
                <w:bottom w:val="none" w:sz="0" w:space="0" w:color="auto"/>
                <w:right w:val="none" w:sz="0" w:space="0" w:color="auto"/>
              </w:divBdr>
            </w:div>
          </w:divsChild>
        </w:div>
        <w:div w:id="1016885160">
          <w:marLeft w:val="0"/>
          <w:marRight w:val="0"/>
          <w:marTop w:val="0"/>
          <w:marBottom w:val="0"/>
          <w:divBdr>
            <w:top w:val="none" w:sz="0" w:space="0" w:color="auto"/>
            <w:left w:val="none" w:sz="0" w:space="0" w:color="auto"/>
            <w:bottom w:val="none" w:sz="0" w:space="0" w:color="auto"/>
            <w:right w:val="none" w:sz="0" w:space="0" w:color="auto"/>
          </w:divBdr>
          <w:divsChild>
            <w:div w:id="836917109">
              <w:marLeft w:val="0"/>
              <w:marRight w:val="0"/>
              <w:marTop w:val="0"/>
              <w:marBottom w:val="0"/>
              <w:divBdr>
                <w:top w:val="none" w:sz="0" w:space="0" w:color="auto"/>
                <w:left w:val="none" w:sz="0" w:space="0" w:color="auto"/>
                <w:bottom w:val="none" w:sz="0" w:space="0" w:color="auto"/>
                <w:right w:val="none" w:sz="0" w:space="0" w:color="auto"/>
              </w:divBdr>
            </w:div>
            <w:div w:id="930311338">
              <w:marLeft w:val="0"/>
              <w:marRight w:val="0"/>
              <w:marTop w:val="0"/>
              <w:marBottom w:val="0"/>
              <w:divBdr>
                <w:top w:val="none" w:sz="0" w:space="0" w:color="auto"/>
                <w:left w:val="none" w:sz="0" w:space="0" w:color="auto"/>
                <w:bottom w:val="none" w:sz="0" w:space="0" w:color="auto"/>
                <w:right w:val="none" w:sz="0" w:space="0" w:color="auto"/>
              </w:divBdr>
            </w:div>
            <w:div w:id="1281768397">
              <w:marLeft w:val="0"/>
              <w:marRight w:val="0"/>
              <w:marTop w:val="0"/>
              <w:marBottom w:val="0"/>
              <w:divBdr>
                <w:top w:val="none" w:sz="0" w:space="0" w:color="auto"/>
                <w:left w:val="none" w:sz="0" w:space="0" w:color="auto"/>
                <w:bottom w:val="none" w:sz="0" w:space="0" w:color="auto"/>
                <w:right w:val="none" w:sz="0" w:space="0" w:color="auto"/>
              </w:divBdr>
            </w:div>
            <w:div w:id="1716275310">
              <w:marLeft w:val="0"/>
              <w:marRight w:val="0"/>
              <w:marTop w:val="0"/>
              <w:marBottom w:val="0"/>
              <w:divBdr>
                <w:top w:val="none" w:sz="0" w:space="0" w:color="auto"/>
                <w:left w:val="none" w:sz="0" w:space="0" w:color="auto"/>
                <w:bottom w:val="none" w:sz="0" w:space="0" w:color="auto"/>
                <w:right w:val="none" w:sz="0" w:space="0" w:color="auto"/>
              </w:divBdr>
            </w:div>
            <w:div w:id="2084597412">
              <w:marLeft w:val="0"/>
              <w:marRight w:val="0"/>
              <w:marTop w:val="0"/>
              <w:marBottom w:val="0"/>
              <w:divBdr>
                <w:top w:val="none" w:sz="0" w:space="0" w:color="auto"/>
                <w:left w:val="none" w:sz="0" w:space="0" w:color="auto"/>
                <w:bottom w:val="none" w:sz="0" w:space="0" w:color="auto"/>
                <w:right w:val="none" w:sz="0" w:space="0" w:color="auto"/>
              </w:divBdr>
            </w:div>
          </w:divsChild>
        </w:div>
        <w:div w:id="1215853355">
          <w:marLeft w:val="0"/>
          <w:marRight w:val="0"/>
          <w:marTop w:val="0"/>
          <w:marBottom w:val="0"/>
          <w:divBdr>
            <w:top w:val="none" w:sz="0" w:space="0" w:color="auto"/>
            <w:left w:val="none" w:sz="0" w:space="0" w:color="auto"/>
            <w:bottom w:val="none" w:sz="0" w:space="0" w:color="auto"/>
            <w:right w:val="none" w:sz="0" w:space="0" w:color="auto"/>
          </w:divBdr>
          <w:divsChild>
            <w:div w:id="241723538">
              <w:marLeft w:val="0"/>
              <w:marRight w:val="0"/>
              <w:marTop w:val="0"/>
              <w:marBottom w:val="0"/>
              <w:divBdr>
                <w:top w:val="none" w:sz="0" w:space="0" w:color="auto"/>
                <w:left w:val="none" w:sz="0" w:space="0" w:color="auto"/>
                <w:bottom w:val="none" w:sz="0" w:space="0" w:color="auto"/>
                <w:right w:val="none" w:sz="0" w:space="0" w:color="auto"/>
              </w:divBdr>
            </w:div>
            <w:div w:id="1122573303">
              <w:marLeft w:val="0"/>
              <w:marRight w:val="0"/>
              <w:marTop w:val="0"/>
              <w:marBottom w:val="0"/>
              <w:divBdr>
                <w:top w:val="none" w:sz="0" w:space="0" w:color="auto"/>
                <w:left w:val="none" w:sz="0" w:space="0" w:color="auto"/>
                <w:bottom w:val="none" w:sz="0" w:space="0" w:color="auto"/>
                <w:right w:val="none" w:sz="0" w:space="0" w:color="auto"/>
              </w:divBdr>
            </w:div>
            <w:div w:id="1826313169">
              <w:marLeft w:val="0"/>
              <w:marRight w:val="0"/>
              <w:marTop w:val="0"/>
              <w:marBottom w:val="0"/>
              <w:divBdr>
                <w:top w:val="none" w:sz="0" w:space="0" w:color="auto"/>
                <w:left w:val="none" w:sz="0" w:space="0" w:color="auto"/>
                <w:bottom w:val="none" w:sz="0" w:space="0" w:color="auto"/>
                <w:right w:val="none" w:sz="0" w:space="0" w:color="auto"/>
              </w:divBdr>
            </w:div>
          </w:divsChild>
        </w:div>
        <w:div w:id="1252856461">
          <w:marLeft w:val="0"/>
          <w:marRight w:val="0"/>
          <w:marTop w:val="0"/>
          <w:marBottom w:val="0"/>
          <w:divBdr>
            <w:top w:val="none" w:sz="0" w:space="0" w:color="auto"/>
            <w:left w:val="none" w:sz="0" w:space="0" w:color="auto"/>
            <w:bottom w:val="none" w:sz="0" w:space="0" w:color="auto"/>
            <w:right w:val="none" w:sz="0" w:space="0" w:color="auto"/>
          </w:divBdr>
          <w:divsChild>
            <w:div w:id="137957863">
              <w:marLeft w:val="0"/>
              <w:marRight w:val="0"/>
              <w:marTop w:val="0"/>
              <w:marBottom w:val="0"/>
              <w:divBdr>
                <w:top w:val="none" w:sz="0" w:space="0" w:color="auto"/>
                <w:left w:val="none" w:sz="0" w:space="0" w:color="auto"/>
                <w:bottom w:val="none" w:sz="0" w:space="0" w:color="auto"/>
                <w:right w:val="none" w:sz="0" w:space="0" w:color="auto"/>
              </w:divBdr>
            </w:div>
            <w:div w:id="648444191">
              <w:marLeft w:val="0"/>
              <w:marRight w:val="0"/>
              <w:marTop w:val="0"/>
              <w:marBottom w:val="0"/>
              <w:divBdr>
                <w:top w:val="none" w:sz="0" w:space="0" w:color="auto"/>
                <w:left w:val="none" w:sz="0" w:space="0" w:color="auto"/>
                <w:bottom w:val="none" w:sz="0" w:space="0" w:color="auto"/>
                <w:right w:val="none" w:sz="0" w:space="0" w:color="auto"/>
              </w:divBdr>
            </w:div>
            <w:div w:id="1131095645">
              <w:marLeft w:val="0"/>
              <w:marRight w:val="0"/>
              <w:marTop w:val="0"/>
              <w:marBottom w:val="0"/>
              <w:divBdr>
                <w:top w:val="none" w:sz="0" w:space="0" w:color="auto"/>
                <w:left w:val="none" w:sz="0" w:space="0" w:color="auto"/>
                <w:bottom w:val="none" w:sz="0" w:space="0" w:color="auto"/>
                <w:right w:val="none" w:sz="0" w:space="0" w:color="auto"/>
              </w:divBdr>
            </w:div>
            <w:div w:id="1263611567">
              <w:marLeft w:val="0"/>
              <w:marRight w:val="0"/>
              <w:marTop w:val="0"/>
              <w:marBottom w:val="0"/>
              <w:divBdr>
                <w:top w:val="none" w:sz="0" w:space="0" w:color="auto"/>
                <w:left w:val="none" w:sz="0" w:space="0" w:color="auto"/>
                <w:bottom w:val="none" w:sz="0" w:space="0" w:color="auto"/>
                <w:right w:val="none" w:sz="0" w:space="0" w:color="auto"/>
              </w:divBdr>
            </w:div>
            <w:div w:id="1378897206">
              <w:marLeft w:val="0"/>
              <w:marRight w:val="0"/>
              <w:marTop w:val="0"/>
              <w:marBottom w:val="0"/>
              <w:divBdr>
                <w:top w:val="none" w:sz="0" w:space="0" w:color="auto"/>
                <w:left w:val="none" w:sz="0" w:space="0" w:color="auto"/>
                <w:bottom w:val="none" w:sz="0" w:space="0" w:color="auto"/>
                <w:right w:val="none" w:sz="0" w:space="0" w:color="auto"/>
              </w:divBdr>
            </w:div>
            <w:div w:id="1387146211">
              <w:marLeft w:val="0"/>
              <w:marRight w:val="0"/>
              <w:marTop w:val="0"/>
              <w:marBottom w:val="0"/>
              <w:divBdr>
                <w:top w:val="none" w:sz="0" w:space="0" w:color="auto"/>
                <w:left w:val="none" w:sz="0" w:space="0" w:color="auto"/>
                <w:bottom w:val="none" w:sz="0" w:space="0" w:color="auto"/>
                <w:right w:val="none" w:sz="0" w:space="0" w:color="auto"/>
              </w:divBdr>
            </w:div>
          </w:divsChild>
        </w:div>
        <w:div w:id="1323464394">
          <w:marLeft w:val="0"/>
          <w:marRight w:val="0"/>
          <w:marTop w:val="0"/>
          <w:marBottom w:val="0"/>
          <w:divBdr>
            <w:top w:val="none" w:sz="0" w:space="0" w:color="auto"/>
            <w:left w:val="none" w:sz="0" w:space="0" w:color="auto"/>
            <w:bottom w:val="none" w:sz="0" w:space="0" w:color="auto"/>
            <w:right w:val="none" w:sz="0" w:space="0" w:color="auto"/>
          </w:divBdr>
          <w:divsChild>
            <w:div w:id="818302019">
              <w:marLeft w:val="0"/>
              <w:marRight w:val="0"/>
              <w:marTop w:val="0"/>
              <w:marBottom w:val="0"/>
              <w:divBdr>
                <w:top w:val="none" w:sz="0" w:space="0" w:color="auto"/>
                <w:left w:val="none" w:sz="0" w:space="0" w:color="auto"/>
                <w:bottom w:val="none" w:sz="0" w:space="0" w:color="auto"/>
                <w:right w:val="none" w:sz="0" w:space="0" w:color="auto"/>
              </w:divBdr>
            </w:div>
          </w:divsChild>
        </w:div>
        <w:div w:id="1334651444">
          <w:marLeft w:val="0"/>
          <w:marRight w:val="0"/>
          <w:marTop w:val="0"/>
          <w:marBottom w:val="0"/>
          <w:divBdr>
            <w:top w:val="none" w:sz="0" w:space="0" w:color="auto"/>
            <w:left w:val="none" w:sz="0" w:space="0" w:color="auto"/>
            <w:bottom w:val="none" w:sz="0" w:space="0" w:color="auto"/>
            <w:right w:val="none" w:sz="0" w:space="0" w:color="auto"/>
          </w:divBdr>
          <w:divsChild>
            <w:div w:id="1014763470">
              <w:marLeft w:val="0"/>
              <w:marRight w:val="0"/>
              <w:marTop w:val="0"/>
              <w:marBottom w:val="0"/>
              <w:divBdr>
                <w:top w:val="none" w:sz="0" w:space="0" w:color="auto"/>
                <w:left w:val="none" w:sz="0" w:space="0" w:color="auto"/>
                <w:bottom w:val="none" w:sz="0" w:space="0" w:color="auto"/>
                <w:right w:val="none" w:sz="0" w:space="0" w:color="auto"/>
              </w:divBdr>
            </w:div>
          </w:divsChild>
        </w:div>
        <w:div w:id="1413356126">
          <w:marLeft w:val="0"/>
          <w:marRight w:val="0"/>
          <w:marTop w:val="0"/>
          <w:marBottom w:val="0"/>
          <w:divBdr>
            <w:top w:val="none" w:sz="0" w:space="0" w:color="auto"/>
            <w:left w:val="none" w:sz="0" w:space="0" w:color="auto"/>
            <w:bottom w:val="none" w:sz="0" w:space="0" w:color="auto"/>
            <w:right w:val="none" w:sz="0" w:space="0" w:color="auto"/>
          </w:divBdr>
          <w:divsChild>
            <w:div w:id="469590616">
              <w:marLeft w:val="0"/>
              <w:marRight w:val="0"/>
              <w:marTop w:val="0"/>
              <w:marBottom w:val="0"/>
              <w:divBdr>
                <w:top w:val="none" w:sz="0" w:space="0" w:color="auto"/>
                <w:left w:val="none" w:sz="0" w:space="0" w:color="auto"/>
                <w:bottom w:val="none" w:sz="0" w:space="0" w:color="auto"/>
                <w:right w:val="none" w:sz="0" w:space="0" w:color="auto"/>
              </w:divBdr>
            </w:div>
            <w:div w:id="653098126">
              <w:marLeft w:val="0"/>
              <w:marRight w:val="0"/>
              <w:marTop w:val="0"/>
              <w:marBottom w:val="0"/>
              <w:divBdr>
                <w:top w:val="none" w:sz="0" w:space="0" w:color="auto"/>
                <w:left w:val="none" w:sz="0" w:space="0" w:color="auto"/>
                <w:bottom w:val="none" w:sz="0" w:space="0" w:color="auto"/>
                <w:right w:val="none" w:sz="0" w:space="0" w:color="auto"/>
              </w:divBdr>
            </w:div>
            <w:div w:id="1672179191">
              <w:marLeft w:val="0"/>
              <w:marRight w:val="0"/>
              <w:marTop w:val="0"/>
              <w:marBottom w:val="0"/>
              <w:divBdr>
                <w:top w:val="none" w:sz="0" w:space="0" w:color="auto"/>
                <w:left w:val="none" w:sz="0" w:space="0" w:color="auto"/>
                <w:bottom w:val="none" w:sz="0" w:space="0" w:color="auto"/>
                <w:right w:val="none" w:sz="0" w:space="0" w:color="auto"/>
              </w:divBdr>
            </w:div>
            <w:div w:id="1926263493">
              <w:marLeft w:val="0"/>
              <w:marRight w:val="0"/>
              <w:marTop w:val="0"/>
              <w:marBottom w:val="0"/>
              <w:divBdr>
                <w:top w:val="none" w:sz="0" w:space="0" w:color="auto"/>
                <w:left w:val="none" w:sz="0" w:space="0" w:color="auto"/>
                <w:bottom w:val="none" w:sz="0" w:space="0" w:color="auto"/>
                <w:right w:val="none" w:sz="0" w:space="0" w:color="auto"/>
              </w:divBdr>
            </w:div>
            <w:div w:id="1954050135">
              <w:marLeft w:val="0"/>
              <w:marRight w:val="0"/>
              <w:marTop w:val="0"/>
              <w:marBottom w:val="0"/>
              <w:divBdr>
                <w:top w:val="none" w:sz="0" w:space="0" w:color="auto"/>
                <w:left w:val="none" w:sz="0" w:space="0" w:color="auto"/>
                <w:bottom w:val="none" w:sz="0" w:space="0" w:color="auto"/>
                <w:right w:val="none" w:sz="0" w:space="0" w:color="auto"/>
              </w:divBdr>
            </w:div>
          </w:divsChild>
        </w:div>
        <w:div w:id="1520042724">
          <w:marLeft w:val="0"/>
          <w:marRight w:val="0"/>
          <w:marTop w:val="0"/>
          <w:marBottom w:val="0"/>
          <w:divBdr>
            <w:top w:val="none" w:sz="0" w:space="0" w:color="auto"/>
            <w:left w:val="none" w:sz="0" w:space="0" w:color="auto"/>
            <w:bottom w:val="none" w:sz="0" w:space="0" w:color="auto"/>
            <w:right w:val="none" w:sz="0" w:space="0" w:color="auto"/>
          </w:divBdr>
          <w:divsChild>
            <w:div w:id="565261842">
              <w:marLeft w:val="0"/>
              <w:marRight w:val="0"/>
              <w:marTop w:val="0"/>
              <w:marBottom w:val="0"/>
              <w:divBdr>
                <w:top w:val="none" w:sz="0" w:space="0" w:color="auto"/>
                <w:left w:val="none" w:sz="0" w:space="0" w:color="auto"/>
                <w:bottom w:val="none" w:sz="0" w:space="0" w:color="auto"/>
                <w:right w:val="none" w:sz="0" w:space="0" w:color="auto"/>
              </w:divBdr>
            </w:div>
          </w:divsChild>
        </w:div>
        <w:div w:id="1734965423">
          <w:marLeft w:val="0"/>
          <w:marRight w:val="0"/>
          <w:marTop w:val="0"/>
          <w:marBottom w:val="0"/>
          <w:divBdr>
            <w:top w:val="none" w:sz="0" w:space="0" w:color="auto"/>
            <w:left w:val="none" w:sz="0" w:space="0" w:color="auto"/>
            <w:bottom w:val="none" w:sz="0" w:space="0" w:color="auto"/>
            <w:right w:val="none" w:sz="0" w:space="0" w:color="auto"/>
          </w:divBdr>
          <w:divsChild>
            <w:div w:id="767626534">
              <w:marLeft w:val="0"/>
              <w:marRight w:val="0"/>
              <w:marTop w:val="0"/>
              <w:marBottom w:val="0"/>
              <w:divBdr>
                <w:top w:val="none" w:sz="0" w:space="0" w:color="auto"/>
                <w:left w:val="none" w:sz="0" w:space="0" w:color="auto"/>
                <w:bottom w:val="none" w:sz="0" w:space="0" w:color="auto"/>
                <w:right w:val="none" w:sz="0" w:space="0" w:color="auto"/>
              </w:divBdr>
            </w:div>
          </w:divsChild>
        </w:div>
        <w:div w:id="1809056619">
          <w:marLeft w:val="0"/>
          <w:marRight w:val="0"/>
          <w:marTop w:val="0"/>
          <w:marBottom w:val="0"/>
          <w:divBdr>
            <w:top w:val="none" w:sz="0" w:space="0" w:color="auto"/>
            <w:left w:val="none" w:sz="0" w:space="0" w:color="auto"/>
            <w:bottom w:val="none" w:sz="0" w:space="0" w:color="auto"/>
            <w:right w:val="none" w:sz="0" w:space="0" w:color="auto"/>
          </w:divBdr>
          <w:divsChild>
            <w:div w:id="1188517830">
              <w:marLeft w:val="0"/>
              <w:marRight w:val="0"/>
              <w:marTop w:val="0"/>
              <w:marBottom w:val="0"/>
              <w:divBdr>
                <w:top w:val="none" w:sz="0" w:space="0" w:color="auto"/>
                <w:left w:val="none" w:sz="0" w:space="0" w:color="auto"/>
                <w:bottom w:val="none" w:sz="0" w:space="0" w:color="auto"/>
                <w:right w:val="none" w:sz="0" w:space="0" w:color="auto"/>
              </w:divBdr>
            </w:div>
          </w:divsChild>
        </w:div>
        <w:div w:id="1926261440">
          <w:marLeft w:val="0"/>
          <w:marRight w:val="0"/>
          <w:marTop w:val="0"/>
          <w:marBottom w:val="0"/>
          <w:divBdr>
            <w:top w:val="none" w:sz="0" w:space="0" w:color="auto"/>
            <w:left w:val="none" w:sz="0" w:space="0" w:color="auto"/>
            <w:bottom w:val="none" w:sz="0" w:space="0" w:color="auto"/>
            <w:right w:val="none" w:sz="0" w:space="0" w:color="auto"/>
          </w:divBdr>
          <w:divsChild>
            <w:div w:id="224607696">
              <w:marLeft w:val="0"/>
              <w:marRight w:val="0"/>
              <w:marTop w:val="0"/>
              <w:marBottom w:val="0"/>
              <w:divBdr>
                <w:top w:val="none" w:sz="0" w:space="0" w:color="auto"/>
                <w:left w:val="none" w:sz="0" w:space="0" w:color="auto"/>
                <w:bottom w:val="none" w:sz="0" w:space="0" w:color="auto"/>
                <w:right w:val="none" w:sz="0" w:space="0" w:color="auto"/>
              </w:divBdr>
            </w:div>
            <w:div w:id="687682411">
              <w:marLeft w:val="0"/>
              <w:marRight w:val="0"/>
              <w:marTop w:val="0"/>
              <w:marBottom w:val="0"/>
              <w:divBdr>
                <w:top w:val="none" w:sz="0" w:space="0" w:color="auto"/>
                <w:left w:val="none" w:sz="0" w:space="0" w:color="auto"/>
                <w:bottom w:val="none" w:sz="0" w:space="0" w:color="auto"/>
                <w:right w:val="none" w:sz="0" w:space="0" w:color="auto"/>
              </w:divBdr>
            </w:div>
            <w:div w:id="747656479">
              <w:marLeft w:val="0"/>
              <w:marRight w:val="0"/>
              <w:marTop w:val="0"/>
              <w:marBottom w:val="0"/>
              <w:divBdr>
                <w:top w:val="none" w:sz="0" w:space="0" w:color="auto"/>
                <w:left w:val="none" w:sz="0" w:space="0" w:color="auto"/>
                <w:bottom w:val="none" w:sz="0" w:space="0" w:color="auto"/>
                <w:right w:val="none" w:sz="0" w:space="0" w:color="auto"/>
              </w:divBdr>
            </w:div>
            <w:div w:id="753472486">
              <w:marLeft w:val="0"/>
              <w:marRight w:val="0"/>
              <w:marTop w:val="0"/>
              <w:marBottom w:val="0"/>
              <w:divBdr>
                <w:top w:val="none" w:sz="0" w:space="0" w:color="auto"/>
                <w:left w:val="none" w:sz="0" w:space="0" w:color="auto"/>
                <w:bottom w:val="none" w:sz="0" w:space="0" w:color="auto"/>
                <w:right w:val="none" w:sz="0" w:space="0" w:color="auto"/>
              </w:divBdr>
            </w:div>
            <w:div w:id="1445077509">
              <w:marLeft w:val="0"/>
              <w:marRight w:val="0"/>
              <w:marTop w:val="0"/>
              <w:marBottom w:val="0"/>
              <w:divBdr>
                <w:top w:val="none" w:sz="0" w:space="0" w:color="auto"/>
                <w:left w:val="none" w:sz="0" w:space="0" w:color="auto"/>
                <w:bottom w:val="none" w:sz="0" w:space="0" w:color="auto"/>
                <w:right w:val="none" w:sz="0" w:space="0" w:color="auto"/>
              </w:divBdr>
            </w:div>
            <w:div w:id="1634946700">
              <w:marLeft w:val="0"/>
              <w:marRight w:val="0"/>
              <w:marTop w:val="0"/>
              <w:marBottom w:val="0"/>
              <w:divBdr>
                <w:top w:val="none" w:sz="0" w:space="0" w:color="auto"/>
                <w:left w:val="none" w:sz="0" w:space="0" w:color="auto"/>
                <w:bottom w:val="none" w:sz="0" w:space="0" w:color="auto"/>
                <w:right w:val="none" w:sz="0" w:space="0" w:color="auto"/>
              </w:divBdr>
            </w:div>
            <w:div w:id="18871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9169">
      <w:bodyDiv w:val="1"/>
      <w:marLeft w:val="0"/>
      <w:marRight w:val="0"/>
      <w:marTop w:val="0"/>
      <w:marBottom w:val="0"/>
      <w:divBdr>
        <w:top w:val="none" w:sz="0" w:space="0" w:color="auto"/>
        <w:left w:val="none" w:sz="0" w:space="0" w:color="auto"/>
        <w:bottom w:val="none" w:sz="0" w:space="0" w:color="auto"/>
        <w:right w:val="none" w:sz="0" w:space="0" w:color="auto"/>
      </w:divBdr>
    </w:div>
    <w:div w:id="1986663589">
      <w:bodyDiv w:val="1"/>
      <w:marLeft w:val="0"/>
      <w:marRight w:val="0"/>
      <w:marTop w:val="0"/>
      <w:marBottom w:val="0"/>
      <w:divBdr>
        <w:top w:val="none" w:sz="0" w:space="0" w:color="auto"/>
        <w:left w:val="none" w:sz="0" w:space="0" w:color="auto"/>
        <w:bottom w:val="none" w:sz="0" w:space="0" w:color="auto"/>
        <w:right w:val="none" w:sz="0" w:space="0" w:color="auto"/>
      </w:divBdr>
    </w:div>
    <w:div w:id="1991714224">
      <w:bodyDiv w:val="1"/>
      <w:marLeft w:val="0"/>
      <w:marRight w:val="0"/>
      <w:marTop w:val="0"/>
      <w:marBottom w:val="0"/>
      <w:divBdr>
        <w:top w:val="none" w:sz="0" w:space="0" w:color="auto"/>
        <w:left w:val="none" w:sz="0" w:space="0" w:color="auto"/>
        <w:bottom w:val="none" w:sz="0" w:space="0" w:color="auto"/>
        <w:right w:val="none" w:sz="0" w:space="0" w:color="auto"/>
      </w:divBdr>
    </w:div>
    <w:div w:id="2001499763">
      <w:bodyDiv w:val="1"/>
      <w:marLeft w:val="0"/>
      <w:marRight w:val="0"/>
      <w:marTop w:val="0"/>
      <w:marBottom w:val="0"/>
      <w:divBdr>
        <w:top w:val="none" w:sz="0" w:space="0" w:color="auto"/>
        <w:left w:val="none" w:sz="0" w:space="0" w:color="auto"/>
        <w:bottom w:val="none" w:sz="0" w:space="0" w:color="auto"/>
        <w:right w:val="none" w:sz="0" w:space="0" w:color="auto"/>
      </w:divBdr>
    </w:div>
    <w:div w:id="2006391755">
      <w:bodyDiv w:val="1"/>
      <w:marLeft w:val="0"/>
      <w:marRight w:val="0"/>
      <w:marTop w:val="0"/>
      <w:marBottom w:val="0"/>
      <w:divBdr>
        <w:top w:val="none" w:sz="0" w:space="0" w:color="auto"/>
        <w:left w:val="none" w:sz="0" w:space="0" w:color="auto"/>
        <w:bottom w:val="none" w:sz="0" w:space="0" w:color="auto"/>
        <w:right w:val="none" w:sz="0" w:space="0" w:color="auto"/>
      </w:divBdr>
    </w:div>
    <w:div w:id="2007442822">
      <w:bodyDiv w:val="1"/>
      <w:marLeft w:val="0"/>
      <w:marRight w:val="0"/>
      <w:marTop w:val="0"/>
      <w:marBottom w:val="0"/>
      <w:divBdr>
        <w:top w:val="none" w:sz="0" w:space="0" w:color="auto"/>
        <w:left w:val="none" w:sz="0" w:space="0" w:color="auto"/>
        <w:bottom w:val="none" w:sz="0" w:space="0" w:color="auto"/>
        <w:right w:val="none" w:sz="0" w:space="0" w:color="auto"/>
      </w:divBdr>
    </w:div>
    <w:div w:id="2008899974">
      <w:bodyDiv w:val="1"/>
      <w:marLeft w:val="0"/>
      <w:marRight w:val="0"/>
      <w:marTop w:val="0"/>
      <w:marBottom w:val="0"/>
      <w:divBdr>
        <w:top w:val="none" w:sz="0" w:space="0" w:color="auto"/>
        <w:left w:val="none" w:sz="0" w:space="0" w:color="auto"/>
        <w:bottom w:val="none" w:sz="0" w:space="0" w:color="auto"/>
        <w:right w:val="none" w:sz="0" w:space="0" w:color="auto"/>
      </w:divBdr>
    </w:div>
    <w:div w:id="2012023251">
      <w:bodyDiv w:val="1"/>
      <w:marLeft w:val="0"/>
      <w:marRight w:val="0"/>
      <w:marTop w:val="0"/>
      <w:marBottom w:val="0"/>
      <w:divBdr>
        <w:top w:val="none" w:sz="0" w:space="0" w:color="auto"/>
        <w:left w:val="none" w:sz="0" w:space="0" w:color="auto"/>
        <w:bottom w:val="none" w:sz="0" w:space="0" w:color="auto"/>
        <w:right w:val="none" w:sz="0" w:space="0" w:color="auto"/>
      </w:divBdr>
    </w:div>
    <w:div w:id="2022927761">
      <w:bodyDiv w:val="1"/>
      <w:marLeft w:val="0"/>
      <w:marRight w:val="0"/>
      <w:marTop w:val="0"/>
      <w:marBottom w:val="0"/>
      <w:divBdr>
        <w:top w:val="none" w:sz="0" w:space="0" w:color="auto"/>
        <w:left w:val="none" w:sz="0" w:space="0" w:color="auto"/>
        <w:bottom w:val="none" w:sz="0" w:space="0" w:color="auto"/>
        <w:right w:val="none" w:sz="0" w:space="0" w:color="auto"/>
      </w:divBdr>
    </w:div>
    <w:div w:id="2025356142">
      <w:bodyDiv w:val="1"/>
      <w:marLeft w:val="0"/>
      <w:marRight w:val="0"/>
      <w:marTop w:val="0"/>
      <w:marBottom w:val="0"/>
      <w:divBdr>
        <w:top w:val="none" w:sz="0" w:space="0" w:color="auto"/>
        <w:left w:val="none" w:sz="0" w:space="0" w:color="auto"/>
        <w:bottom w:val="none" w:sz="0" w:space="0" w:color="auto"/>
        <w:right w:val="none" w:sz="0" w:space="0" w:color="auto"/>
      </w:divBdr>
    </w:div>
    <w:div w:id="2029675992">
      <w:bodyDiv w:val="1"/>
      <w:marLeft w:val="0"/>
      <w:marRight w:val="0"/>
      <w:marTop w:val="0"/>
      <w:marBottom w:val="0"/>
      <w:divBdr>
        <w:top w:val="none" w:sz="0" w:space="0" w:color="auto"/>
        <w:left w:val="none" w:sz="0" w:space="0" w:color="auto"/>
        <w:bottom w:val="none" w:sz="0" w:space="0" w:color="auto"/>
        <w:right w:val="none" w:sz="0" w:space="0" w:color="auto"/>
      </w:divBdr>
    </w:div>
    <w:div w:id="2030988481">
      <w:bodyDiv w:val="1"/>
      <w:marLeft w:val="0"/>
      <w:marRight w:val="0"/>
      <w:marTop w:val="0"/>
      <w:marBottom w:val="0"/>
      <w:divBdr>
        <w:top w:val="none" w:sz="0" w:space="0" w:color="auto"/>
        <w:left w:val="none" w:sz="0" w:space="0" w:color="auto"/>
        <w:bottom w:val="none" w:sz="0" w:space="0" w:color="auto"/>
        <w:right w:val="none" w:sz="0" w:space="0" w:color="auto"/>
      </w:divBdr>
    </w:div>
    <w:div w:id="2032950325">
      <w:bodyDiv w:val="1"/>
      <w:marLeft w:val="0"/>
      <w:marRight w:val="0"/>
      <w:marTop w:val="0"/>
      <w:marBottom w:val="0"/>
      <w:divBdr>
        <w:top w:val="none" w:sz="0" w:space="0" w:color="auto"/>
        <w:left w:val="none" w:sz="0" w:space="0" w:color="auto"/>
        <w:bottom w:val="none" w:sz="0" w:space="0" w:color="auto"/>
        <w:right w:val="none" w:sz="0" w:space="0" w:color="auto"/>
      </w:divBdr>
    </w:div>
    <w:div w:id="2039037748">
      <w:bodyDiv w:val="1"/>
      <w:marLeft w:val="0"/>
      <w:marRight w:val="0"/>
      <w:marTop w:val="0"/>
      <w:marBottom w:val="0"/>
      <w:divBdr>
        <w:top w:val="none" w:sz="0" w:space="0" w:color="auto"/>
        <w:left w:val="none" w:sz="0" w:space="0" w:color="auto"/>
        <w:bottom w:val="none" w:sz="0" w:space="0" w:color="auto"/>
        <w:right w:val="none" w:sz="0" w:space="0" w:color="auto"/>
      </w:divBdr>
    </w:div>
    <w:div w:id="2047218867">
      <w:bodyDiv w:val="1"/>
      <w:marLeft w:val="0"/>
      <w:marRight w:val="0"/>
      <w:marTop w:val="0"/>
      <w:marBottom w:val="0"/>
      <w:divBdr>
        <w:top w:val="none" w:sz="0" w:space="0" w:color="auto"/>
        <w:left w:val="none" w:sz="0" w:space="0" w:color="auto"/>
        <w:bottom w:val="none" w:sz="0" w:space="0" w:color="auto"/>
        <w:right w:val="none" w:sz="0" w:space="0" w:color="auto"/>
      </w:divBdr>
    </w:div>
    <w:div w:id="2051104999">
      <w:bodyDiv w:val="1"/>
      <w:marLeft w:val="0"/>
      <w:marRight w:val="0"/>
      <w:marTop w:val="0"/>
      <w:marBottom w:val="0"/>
      <w:divBdr>
        <w:top w:val="none" w:sz="0" w:space="0" w:color="auto"/>
        <w:left w:val="none" w:sz="0" w:space="0" w:color="auto"/>
        <w:bottom w:val="none" w:sz="0" w:space="0" w:color="auto"/>
        <w:right w:val="none" w:sz="0" w:space="0" w:color="auto"/>
      </w:divBdr>
      <w:divsChild>
        <w:div w:id="953945757">
          <w:marLeft w:val="0"/>
          <w:marRight w:val="0"/>
          <w:marTop w:val="0"/>
          <w:marBottom w:val="0"/>
          <w:divBdr>
            <w:top w:val="none" w:sz="0" w:space="0" w:color="auto"/>
            <w:left w:val="none" w:sz="0" w:space="0" w:color="auto"/>
            <w:bottom w:val="none" w:sz="0" w:space="0" w:color="auto"/>
            <w:right w:val="none" w:sz="0" w:space="0" w:color="auto"/>
          </w:divBdr>
          <w:divsChild>
            <w:div w:id="2126927823">
              <w:marLeft w:val="0"/>
              <w:marRight w:val="0"/>
              <w:marTop w:val="0"/>
              <w:marBottom w:val="0"/>
              <w:divBdr>
                <w:top w:val="none" w:sz="0" w:space="0" w:color="auto"/>
                <w:left w:val="none" w:sz="0" w:space="0" w:color="auto"/>
                <w:bottom w:val="none" w:sz="0" w:space="0" w:color="auto"/>
                <w:right w:val="none" w:sz="0" w:space="0" w:color="auto"/>
              </w:divBdr>
              <w:divsChild>
                <w:div w:id="871192782">
                  <w:marLeft w:val="0"/>
                  <w:marRight w:val="0"/>
                  <w:marTop w:val="0"/>
                  <w:marBottom w:val="0"/>
                  <w:divBdr>
                    <w:top w:val="none" w:sz="0" w:space="0" w:color="auto"/>
                    <w:left w:val="none" w:sz="0" w:space="0" w:color="auto"/>
                    <w:bottom w:val="none" w:sz="0" w:space="0" w:color="auto"/>
                    <w:right w:val="none" w:sz="0" w:space="0" w:color="auto"/>
                  </w:divBdr>
                  <w:divsChild>
                    <w:div w:id="2063094481">
                      <w:marLeft w:val="0"/>
                      <w:marRight w:val="0"/>
                      <w:marTop w:val="0"/>
                      <w:marBottom w:val="0"/>
                      <w:divBdr>
                        <w:top w:val="none" w:sz="0" w:space="0" w:color="auto"/>
                        <w:left w:val="none" w:sz="0" w:space="0" w:color="auto"/>
                        <w:bottom w:val="none" w:sz="0" w:space="0" w:color="auto"/>
                        <w:right w:val="none" w:sz="0" w:space="0" w:color="auto"/>
                      </w:divBdr>
                      <w:divsChild>
                        <w:div w:id="1547788541">
                          <w:marLeft w:val="0"/>
                          <w:marRight w:val="0"/>
                          <w:marTop w:val="0"/>
                          <w:marBottom w:val="0"/>
                          <w:divBdr>
                            <w:top w:val="none" w:sz="0" w:space="0" w:color="auto"/>
                            <w:left w:val="none" w:sz="0" w:space="0" w:color="auto"/>
                            <w:bottom w:val="none" w:sz="0" w:space="0" w:color="auto"/>
                            <w:right w:val="none" w:sz="0" w:space="0" w:color="auto"/>
                          </w:divBdr>
                          <w:divsChild>
                            <w:div w:id="629357181">
                              <w:marLeft w:val="0"/>
                              <w:marRight w:val="0"/>
                              <w:marTop w:val="0"/>
                              <w:marBottom w:val="0"/>
                              <w:divBdr>
                                <w:top w:val="none" w:sz="0" w:space="0" w:color="auto"/>
                                <w:left w:val="none" w:sz="0" w:space="0" w:color="auto"/>
                                <w:bottom w:val="none" w:sz="0" w:space="0" w:color="auto"/>
                                <w:right w:val="none" w:sz="0" w:space="0" w:color="auto"/>
                              </w:divBdr>
                              <w:divsChild>
                                <w:div w:id="197931976">
                                  <w:marLeft w:val="0"/>
                                  <w:marRight w:val="0"/>
                                  <w:marTop w:val="0"/>
                                  <w:marBottom w:val="0"/>
                                  <w:divBdr>
                                    <w:top w:val="none" w:sz="0" w:space="0" w:color="auto"/>
                                    <w:left w:val="none" w:sz="0" w:space="0" w:color="auto"/>
                                    <w:bottom w:val="none" w:sz="0" w:space="0" w:color="auto"/>
                                    <w:right w:val="none" w:sz="0" w:space="0" w:color="auto"/>
                                  </w:divBdr>
                                  <w:divsChild>
                                    <w:div w:id="1731421228">
                                      <w:marLeft w:val="0"/>
                                      <w:marRight w:val="0"/>
                                      <w:marTop w:val="0"/>
                                      <w:marBottom w:val="0"/>
                                      <w:divBdr>
                                        <w:top w:val="none" w:sz="0" w:space="0" w:color="auto"/>
                                        <w:left w:val="none" w:sz="0" w:space="0" w:color="auto"/>
                                        <w:bottom w:val="none" w:sz="0" w:space="0" w:color="auto"/>
                                        <w:right w:val="none" w:sz="0" w:space="0" w:color="auto"/>
                                      </w:divBdr>
                                      <w:divsChild>
                                        <w:div w:id="587227929">
                                          <w:marLeft w:val="0"/>
                                          <w:marRight w:val="0"/>
                                          <w:marTop w:val="0"/>
                                          <w:marBottom w:val="0"/>
                                          <w:divBdr>
                                            <w:top w:val="none" w:sz="0" w:space="0" w:color="auto"/>
                                            <w:left w:val="none" w:sz="0" w:space="0" w:color="auto"/>
                                            <w:bottom w:val="none" w:sz="0" w:space="0" w:color="auto"/>
                                            <w:right w:val="none" w:sz="0" w:space="0" w:color="auto"/>
                                          </w:divBdr>
                                          <w:divsChild>
                                            <w:div w:id="1763531610">
                                              <w:marLeft w:val="0"/>
                                              <w:marRight w:val="0"/>
                                              <w:marTop w:val="0"/>
                                              <w:marBottom w:val="0"/>
                                              <w:divBdr>
                                                <w:top w:val="none" w:sz="0" w:space="0" w:color="auto"/>
                                                <w:left w:val="none" w:sz="0" w:space="0" w:color="auto"/>
                                                <w:bottom w:val="none" w:sz="0" w:space="0" w:color="auto"/>
                                                <w:right w:val="none" w:sz="0" w:space="0" w:color="auto"/>
                                              </w:divBdr>
                                              <w:divsChild>
                                                <w:div w:id="1453668395">
                                                  <w:marLeft w:val="0"/>
                                                  <w:marRight w:val="0"/>
                                                  <w:marTop w:val="0"/>
                                                  <w:marBottom w:val="0"/>
                                                  <w:divBdr>
                                                    <w:top w:val="none" w:sz="0" w:space="0" w:color="auto"/>
                                                    <w:left w:val="none" w:sz="0" w:space="0" w:color="auto"/>
                                                    <w:bottom w:val="none" w:sz="0" w:space="0" w:color="auto"/>
                                                    <w:right w:val="none" w:sz="0" w:space="0" w:color="auto"/>
                                                  </w:divBdr>
                                                  <w:divsChild>
                                                    <w:div w:id="884950680">
                                                      <w:marLeft w:val="0"/>
                                                      <w:marRight w:val="0"/>
                                                      <w:marTop w:val="0"/>
                                                      <w:marBottom w:val="0"/>
                                                      <w:divBdr>
                                                        <w:top w:val="none" w:sz="0" w:space="0" w:color="auto"/>
                                                        <w:left w:val="none" w:sz="0" w:space="0" w:color="auto"/>
                                                        <w:bottom w:val="none" w:sz="0" w:space="0" w:color="auto"/>
                                                        <w:right w:val="none" w:sz="0" w:space="0" w:color="auto"/>
                                                      </w:divBdr>
                                                      <w:divsChild>
                                                        <w:div w:id="8203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62121">
                                              <w:marLeft w:val="0"/>
                                              <w:marRight w:val="0"/>
                                              <w:marTop w:val="0"/>
                                              <w:marBottom w:val="0"/>
                                              <w:divBdr>
                                                <w:top w:val="none" w:sz="0" w:space="0" w:color="auto"/>
                                                <w:left w:val="none" w:sz="0" w:space="0" w:color="auto"/>
                                                <w:bottom w:val="none" w:sz="0" w:space="0" w:color="auto"/>
                                                <w:right w:val="none" w:sz="0" w:space="0" w:color="auto"/>
                                              </w:divBdr>
                                              <w:divsChild>
                                                <w:div w:id="857617134">
                                                  <w:marLeft w:val="0"/>
                                                  <w:marRight w:val="0"/>
                                                  <w:marTop w:val="0"/>
                                                  <w:marBottom w:val="0"/>
                                                  <w:divBdr>
                                                    <w:top w:val="none" w:sz="0" w:space="0" w:color="auto"/>
                                                    <w:left w:val="none" w:sz="0" w:space="0" w:color="auto"/>
                                                    <w:bottom w:val="none" w:sz="0" w:space="0" w:color="auto"/>
                                                    <w:right w:val="none" w:sz="0" w:space="0" w:color="auto"/>
                                                  </w:divBdr>
                                                  <w:divsChild>
                                                    <w:div w:id="1447385829">
                                                      <w:marLeft w:val="0"/>
                                                      <w:marRight w:val="0"/>
                                                      <w:marTop w:val="0"/>
                                                      <w:marBottom w:val="0"/>
                                                      <w:divBdr>
                                                        <w:top w:val="none" w:sz="0" w:space="0" w:color="auto"/>
                                                        <w:left w:val="none" w:sz="0" w:space="0" w:color="auto"/>
                                                        <w:bottom w:val="none" w:sz="0" w:space="0" w:color="auto"/>
                                                        <w:right w:val="none" w:sz="0" w:space="0" w:color="auto"/>
                                                      </w:divBdr>
                                                      <w:divsChild>
                                                        <w:div w:id="329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053852">
          <w:marLeft w:val="0"/>
          <w:marRight w:val="0"/>
          <w:marTop w:val="0"/>
          <w:marBottom w:val="0"/>
          <w:divBdr>
            <w:top w:val="none" w:sz="0" w:space="0" w:color="auto"/>
            <w:left w:val="none" w:sz="0" w:space="0" w:color="auto"/>
            <w:bottom w:val="none" w:sz="0" w:space="0" w:color="auto"/>
            <w:right w:val="none" w:sz="0" w:space="0" w:color="auto"/>
          </w:divBdr>
          <w:divsChild>
            <w:div w:id="240410647">
              <w:marLeft w:val="0"/>
              <w:marRight w:val="0"/>
              <w:marTop w:val="0"/>
              <w:marBottom w:val="0"/>
              <w:divBdr>
                <w:top w:val="none" w:sz="0" w:space="0" w:color="auto"/>
                <w:left w:val="none" w:sz="0" w:space="0" w:color="auto"/>
                <w:bottom w:val="none" w:sz="0" w:space="0" w:color="auto"/>
                <w:right w:val="none" w:sz="0" w:space="0" w:color="auto"/>
              </w:divBdr>
              <w:divsChild>
                <w:div w:id="1201630880">
                  <w:marLeft w:val="0"/>
                  <w:marRight w:val="0"/>
                  <w:marTop w:val="0"/>
                  <w:marBottom w:val="0"/>
                  <w:divBdr>
                    <w:top w:val="none" w:sz="0" w:space="0" w:color="auto"/>
                    <w:left w:val="none" w:sz="0" w:space="0" w:color="auto"/>
                    <w:bottom w:val="none" w:sz="0" w:space="0" w:color="auto"/>
                    <w:right w:val="none" w:sz="0" w:space="0" w:color="auto"/>
                  </w:divBdr>
                  <w:divsChild>
                    <w:div w:id="8241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7435">
      <w:bodyDiv w:val="1"/>
      <w:marLeft w:val="0"/>
      <w:marRight w:val="0"/>
      <w:marTop w:val="0"/>
      <w:marBottom w:val="0"/>
      <w:divBdr>
        <w:top w:val="none" w:sz="0" w:space="0" w:color="auto"/>
        <w:left w:val="none" w:sz="0" w:space="0" w:color="auto"/>
        <w:bottom w:val="none" w:sz="0" w:space="0" w:color="auto"/>
        <w:right w:val="none" w:sz="0" w:space="0" w:color="auto"/>
      </w:divBdr>
    </w:div>
    <w:div w:id="2052722647">
      <w:bodyDiv w:val="1"/>
      <w:marLeft w:val="0"/>
      <w:marRight w:val="0"/>
      <w:marTop w:val="0"/>
      <w:marBottom w:val="0"/>
      <w:divBdr>
        <w:top w:val="none" w:sz="0" w:space="0" w:color="auto"/>
        <w:left w:val="none" w:sz="0" w:space="0" w:color="auto"/>
        <w:bottom w:val="none" w:sz="0" w:space="0" w:color="auto"/>
        <w:right w:val="none" w:sz="0" w:space="0" w:color="auto"/>
      </w:divBdr>
    </w:div>
    <w:div w:id="2053387077">
      <w:bodyDiv w:val="1"/>
      <w:marLeft w:val="0"/>
      <w:marRight w:val="0"/>
      <w:marTop w:val="0"/>
      <w:marBottom w:val="0"/>
      <w:divBdr>
        <w:top w:val="none" w:sz="0" w:space="0" w:color="auto"/>
        <w:left w:val="none" w:sz="0" w:space="0" w:color="auto"/>
        <w:bottom w:val="none" w:sz="0" w:space="0" w:color="auto"/>
        <w:right w:val="none" w:sz="0" w:space="0" w:color="auto"/>
      </w:divBdr>
    </w:div>
    <w:div w:id="2054038695">
      <w:bodyDiv w:val="1"/>
      <w:marLeft w:val="0"/>
      <w:marRight w:val="0"/>
      <w:marTop w:val="0"/>
      <w:marBottom w:val="0"/>
      <w:divBdr>
        <w:top w:val="none" w:sz="0" w:space="0" w:color="auto"/>
        <w:left w:val="none" w:sz="0" w:space="0" w:color="auto"/>
        <w:bottom w:val="none" w:sz="0" w:space="0" w:color="auto"/>
        <w:right w:val="none" w:sz="0" w:space="0" w:color="auto"/>
      </w:divBdr>
    </w:div>
    <w:div w:id="2062904053">
      <w:bodyDiv w:val="1"/>
      <w:marLeft w:val="0"/>
      <w:marRight w:val="0"/>
      <w:marTop w:val="0"/>
      <w:marBottom w:val="0"/>
      <w:divBdr>
        <w:top w:val="none" w:sz="0" w:space="0" w:color="auto"/>
        <w:left w:val="none" w:sz="0" w:space="0" w:color="auto"/>
        <w:bottom w:val="none" w:sz="0" w:space="0" w:color="auto"/>
        <w:right w:val="none" w:sz="0" w:space="0" w:color="auto"/>
      </w:divBdr>
    </w:div>
    <w:div w:id="2079355272">
      <w:bodyDiv w:val="1"/>
      <w:marLeft w:val="0"/>
      <w:marRight w:val="0"/>
      <w:marTop w:val="0"/>
      <w:marBottom w:val="0"/>
      <w:divBdr>
        <w:top w:val="none" w:sz="0" w:space="0" w:color="auto"/>
        <w:left w:val="none" w:sz="0" w:space="0" w:color="auto"/>
        <w:bottom w:val="none" w:sz="0" w:space="0" w:color="auto"/>
        <w:right w:val="none" w:sz="0" w:space="0" w:color="auto"/>
      </w:divBdr>
    </w:div>
    <w:div w:id="2079665961">
      <w:bodyDiv w:val="1"/>
      <w:marLeft w:val="0"/>
      <w:marRight w:val="0"/>
      <w:marTop w:val="0"/>
      <w:marBottom w:val="0"/>
      <w:divBdr>
        <w:top w:val="none" w:sz="0" w:space="0" w:color="auto"/>
        <w:left w:val="none" w:sz="0" w:space="0" w:color="auto"/>
        <w:bottom w:val="none" w:sz="0" w:space="0" w:color="auto"/>
        <w:right w:val="none" w:sz="0" w:space="0" w:color="auto"/>
      </w:divBdr>
    </w:div>
    <w:div w:id="2095085452">
      <w:bodyDiv w:val="1"/>
      <w:marLeft w:val="0"/>
      <w:marRight w:val="0"/>
      <w:marTop w:val="0"/>
      <w:marBottom w:val="0"/>
      <w:divBdr>
        <w:top w:val="none" w:sz="0" w:space="0" w:color="auto"/>
        <w:left w:val="none" w:sz="0" w:space="0" w:color="auto"/>
        <w:bottom w:val="none" w:sz="0" w:space="0" w:color="auto"/>
        <w:right w:val="none" w:sz="0" w:space="0" w:color="auto"/>
      </w:divBdr>
    </w:div>
    <w:div w:id="2098407076">
      <w:bodyDiv w:val="1"/>
      <w:marLeft w:val="0"/>
      <w:marRight w:val="0"/>
      <w:marTop w:val="0"/>
      <w:marBottom w:val="0"/>
      <w:divBdr>
        <w:top w:val="none" w:sz="0" w:space="0" w:color="auto"/>
        <w:left w:val="none" w:sz="0" w:space="0" w:color="auto"/>
        <w:bottom w:val="none" w:sz="0" w:space="0" w:color="auto"/>
        <w:right w:val="none" w:sz="0" w:space="0" w:color="auto"/>
      </w:divBdr>
    </w:div>
    <w:div w:id="2103797654">
      <w:bodyDiv w:val="1"/>
      <w:marLeft w:val="0"/>
      <w:marRight w:val="0"/>
      <w:marTop w:val="0"/>
      <w:marBottom w:val="0"/>
      <w:divBdr>
        <w:top w:val="none" w:sz="0" w:space="0" w:color="auto"/>
        <w:left w:val="none" w:sz="0" w:space="0" w:color="auto"/>
        <w:bottom w:val="none" w:sz="0" w:space="0" w:color="auto"/>
        <w:right w:val="none" w:sz="0" w:space="0" w:color="auto"/>
      </w:divBdr>
    </w:div>
    <w:div w:id="2103910244">
      <w:bodyDiv w:val="1"/>
      <w:marLeft w:val="0"/>
      <w:marRight w:val="0"/>
      <w:marTop w:val="0"/>
      <w:marBottom w:val="0"/>
      <w:divBdr>
        <w:top w:val="none" w:sz="0" w:space="0" w:color="auto"/>
        <w:left w:val="none" w:sz="0" w:space="0" w:color="auto"/>
        <w:bottom w:val="none" w:sz="0" w:space="0" w:color="auto"/>
        <w:right w:val="none" w:sz="0" w:space="0" w:color="auto"/>
      </w:divBdr>
    </w:div>
    <w:div w:id="2107000791">
      <w:bodyDiv w:val="1"/>
      <w:marLeft w:val="0"/>
      <w:marRight w:val="0"/>
      <w:marTop w:val="0"/>
      <w:marBottom w:val="0"/>
      <w:divBdr>
        <w:top w:val="none" w:sz="0" w:space="0" w:color="auto"/>
        <w:left w:val="none" w:sz="0" w:space="0" w:color="auto"/>
        <w:bottom w:val="none" w:sz="0" w:space="0" w:color="auto"/>
        <w:right w:val="none" w:sz="0" w:space="0" w:color="auto"/>
      </w:divBdr>
    </w:div>
    <w:div w:id="2109303144">
      <w:bodyDiv w:val="1"/>
      <w:marLeft w:val="0"/>
      <w:marRight w:val="0"/>
      <w:marTop w:val="0"/>
      <w:marBottom w:val="0"/>
      <w:divBdr>
        <w:top w:val="none" w:sz="0" w:space="0" w:color="auto"/>
        <w:left w:val="none" w:sz="0" w:space="0" w:color="auto"/>
        <w:bottom w:val="none" w:sz="0" w:space="0" w:color="auto"/>
        <w:right w:val="none" w:sz="0" w:space="0" w:color="auto"/>
      </w:divBdr>
    </w:div>
    <w:div w:id="2114933777">
      <w:bodyDiv w:val="1"/>
      <w:marLeft w:val="0"/>
      <w:marRight w:val="0"/>
      <w:marTop w:val="0"/>
      <w:marBottom w:val="0"/>
      <w:divBdr>
        <w:top w:val="none" w:sz="0" w:space="0" w:color="auto"/>
        <w:left w:val="none" w:sz="0" w:space="0" w:color="auto"/>
        <w:bottom w:val="none" w:sz="0" w:space="0" w:color="auto"/>
        <w:right w:val="none" w:sz="0" w:space="0" w:color="auto"/>
      </w:divBdr>
    </w:div>
    <w:div w:id="2130201892">
      <w:bodyDiv w:val="1"/>
      <w:marLeft w:val="0"/>
      <w:marRight w:val="0"/>
      <w:marTop w:val="0"/>
      <w:marBottom w:val="0"/>
      <w:divBdr>
        <w:top w:val="none" w:sz="0" w:space="0" w:color="auto"/>
        <w:left w:val="none" w:sz="0" w:space="0" w:color="auto"/>
        <w:bottom w:val="none" w:sz="0" w:space="0" w:color="auto"/>
        <w:right w:val="none" w:sz="0" w:space="0" w:color="auto"/>
      </w:divBdr>
      <w:divsChild>
        <w:div w:id="22172897">
          <w:marLeft w:val="0"/>
          <w:marRight w:val="0"/>
          <w:marTop w:val="0"/>
          <w:marBottom w:val="0"/>
          <w:divBdr>
            <w:top w:val="none" w:sz="0" w:space="0" w:color="auto"/>
            <w:left w:val="none" w:sz="0" w:space="0" w:color="auto"/>
            <w:bottom w:val="none" w:sz="0" w:space="0" w:color="auto"/>
            <w:right w:val="none" w:sz="0" w:space="0" w:color="auto"/>
          </w:divBdr>
          <w:divsChild>
            <w:div w:id="1602109448">
              <w:marLeft w:val="0"/>
              <w:marRight w:val="0"/>
              <w:marTop w:val="0"/>
              <w:marBottom w:val="0"/>
              <w:divBdr>
                <w:top w:val="none" w:sz="0" w:space="0" w:color="auto"/>
                <w:left w:val="none" w:sz="0" w:space="0" w:color="auto"/>
                <w:bottom w:val="none" w:sz="0" w:space="0" w:color="auto"/>
                <w:right w:val="none" w:sz="0" w:space="0" w:color="auto"/>
              </w:divBdr>
            </w:div>
          </w:divsChild>
        </w:div>
        <w:div w:id="143008259">
          <w:marLeft w:val="0"/>
          <w:marRight w:val="0"/>
          <w:marTop w:val="0"/>
          <w:marBottom w:val="0"/>
          <w:divBdr>
            <w:top w:val="none" w:sz="0" w:space="0" w:color="auto"/>
            <w:left w:val="none" w:sz="0" w:space="0" w:color="auto"/>
            <w:bottom w:val="none" w:sz="0" w:space="0" w:color="auto"/>
            <w:right w:val="none" w:sz="0" w:space="0" w:color="auto"/>
          </w:divBdr>
          <w:divsChild>
            <w:div w:id="1634603069">
              <w:marLeft w:val="0"/>
              <w:marRight w:val="0"/>
              <w:marTop w:val="0"/>
              <w:marBottom w:val="0"/>
              <w:divBdr>
                <w:top w:val="none" w:sz="0" w:space="0" w:color="auto"/>
                <w:left w:val="none" w:sz="0" w:space="0" w:color="auto"/>
                <w:bottom w:val="none" w:sz="0" w:space="0" w:color="auto"/>
                <w:right w:val="none" w:sz="0" w:space="0" w:color="auto"/>
              </w:divBdr>
            </w:div>
          </w:divsChild>
        </w:div>
        <w:div w:id="169415045">
          <w:marLeft w:val="0"/>
          <w:marRight w:val="0"/>
          <w:marTop w:val="0"/>
          <w:marBottom w:val="0"/>
          <w:divBdr>
            <w:top w:val="none" w:sz="0" w:space="0" w:color="auto"/>
            <w:left w:val="none" w:sz="0" w:space="0" w:color="auto"/>
            <w:bottom w:val="none" w:sz="0" w:space="0" w:color="auto"/>
            <w:right w:val="none" w:sz="0" w:space="0" w:color="auto"/>
          </w:divBdr>
          <w:divsChild>
            <w:div w:id="774401599">
              <w:marLeft w:val="0"/>
              <w:marRight w:val="0"/>
              <w:marTop w:val="0"/>
              <w:marBottom w:val="0"/>
              <w:divBdr>
                <w:top w:val="none" w:sz="0" w:space="0" w:color="auto"/>
                <w:left w:val="none" w:sz="0" w:space="0" w:color="auto"/>
                <w:bottom w:val="none" w:sz="0" w:space="0" w:color="auto"/>
                <w:right w:val="none" w:sz="0" w:space="0" w:color="auto"/>
              </w:divBdr>
            </w:div>
          </w:divsChild>
        </w:div>
        <w:div w:id="258567169">
          <w:marLeft w:val="0"/>
          <w:marRight w:val="0"/>
          <w:marTop w:val="0"/>
          <w:marBottom w:val="0"/>
          <w:divBdr>
            <w:top w:val="none" w:sz="0" w:space="0" w:color="auto"/>
            <w:left w:val="none" w:sz="0" w:space="0" w:color="auto"/>
            <w:bottom w:val="none" w:sz="0" w:space="0" w:color="auto"/>
            <w:right w:val="none" w:sz="0" w:space="0" w:color="auto"/>
          </w:divBdr>
          <w:divsChild>
            <w:div w:id="929847873">
              <w:marLeft w:val="0"/>
              <w:marRight w:val="0"/>
              <w:marTop w:val="0"/>
              <w:marBottom w:val="0"/>
              <w:divBdr>
                <w:top w:val="none" w:sz="0" w:space="0" w:color="auto"/>
                <w:left w:val="none" w:sz="0" w:space="0" w:color="auto"/>
                <w:bottom w:val="none" w:sz="0" w:space="0" w:color="auto"/>
                <w:right w:val="none" w:sz="0" w:space="0" w:color="auto"/>
              </w:divBdr>
            </w:div>
            <w:div w:id="1762412414">
              <w:marLeft w:val="0"/>
              <w:marRight w:val="0"/>
              <w:marTop w:val="0"/>
              <w:marBottom w:val="0"/>
              <w:divBdr>
                <w:top w:val="none" w:sz="0" w:space="0" w:color="auto"/>
                <w:left w:val="none" w:sz="0" w:space="0" w:color="auto"/>
                <w:bottom w:val="none" w:sz="0" w:space="0" w:color="auto"/>
                <w:right w:val="none" w:sz="0" w:space="0" w:color="auto"/>
              </w:divBdr>
            </w:div>
          </w:divsChild>
        </w:div>
        <w:div w:id="434832428">
          <w:marLeft w:val="0"/>
          <w:marRight w:val="0"/>
          <w:marTop w:val="0"/>
          <w:marBottom w:val="0"/>
          <w:divBdr>
            <w:top w:val="none" w:sz="0" w:space="0" w:color="auto"/>
            <w:left w:val="none" w:sz="0" w:space="0" w:color="auto"/>
            <w:bottom w:val="none" w:sz="0" w:space="0" w:color="auto"/>
            <w:right w:val="none" w:sz="0" w:space="0" w:color="auto"/>
          </w:divBdr>
          <w:divsChild>
            <w:div w:id="620454432">
              <w:marLeft w:val="0"/>
              <w:marRight w:val="0"/>
              <w:marTop w:val="0"/>
              <w:marBottom w:val="0"/>
              <w:divBdr>
                <w:top w:val="none" w:sz="0" w:space="0" w:color="auto"/>
                <w:left w:val="none" w:sz="0" w:space="0" w:color="auto"/>
                <w:bottom w:val="none" w:sz="0" w:space="0" w:color="auto"/>
                <w:right w:val="none" w:sz="0" w:space="0" w:color="auto"/>
              </w:divBdr>
            </w:div>
          </w:divsChild>
        </w:div>
        <w:div w:id="568854736">
          <w:marLeft w:val="0"/>
          <w:marRight w:val="0"/>
          <w:marTop w:val="0"/>
          <w:marBottom w:val="0"/>
          <w:divBdr>
            <w:top w:val="none" w:sz="0" w:space="0" w:color="auto"/>
            <w:left w:val="none" w:sz="0" w:space="0" w:color="auto"/>
            <w:bottom w:val="none" w:sz="0" w:space="0" w:color="auto"/>
            <w:right w:val="none" w:sz="0" w:space="0" w:color="auto"/>
          </w:divBdr>
          <w:divsChild>
            <w:div w:id="175582430">
              <w:marLeft w:val="0"/>
              <w:marRight w:val="0"/>
              <w:marTop w:val="0"/>
              <w:marBottom w:val="0"/>
              <w:divBdr>
                <w:top w:val="none" w:sz="0" w:space="0" w:color="auto"/>
                <w:left w:val="none" w:sz="0" w:space="0" w:color="auto"/>
                <w:bottom w:val="none" w:sz="0" w:space="0" w:color="auto"/>
                <w:right w:val="none" w:sz="0" w:space="0" w:color="auto"/>
              </w:divBdr>
            </w:div>
            <w:div w:id="1046101227">
              <w:marLeft w:val="0"/>
              <w:marRight w:val="0"/>
              <w:marTop w:val="0"/>
              <w:marBottom w:val="0"/>
              <w:divBdr>
                <w:top w:val="none" w:sz="0" w:space="0" w:color="auto"/>
                <w:left w:val="none" w:sz="0" w:space="0" w:color="auto"/>
                <w:bottom w:val="none" w:sz="0" w:space="0" w:color="auto"/>
                <w:right w:val="none" w:sz="0" w:space="0" w:color="auto"/>
              </w:divBdr>
            </w:div>
            <w:div w:id="1716542281">
              <w:marLeft w:val="0"/>
              <w:marRight w:val="0"/>
              <w:marTop w:val="0"/>
              <w:marBottom w:val="0"/>
              <w:divBdr>
                <w:top w:val="none" w:sz="0" w:space="0" w:color="auto"/>
                <w:left w:val="none" w:sz="0" w:space="0" w:color="auto"/>
                <w:bottom w:val="none" w:sz="0" w:space="0" w:color="auto"/>
                <w:right w:val="none" w:sz="0" w:space="0" w:color="auto"/>
              </w:divBdr>
            </w:div>
          </w:divsChild>
        </w:div>
        <w:div w:id="591012229">
          <w:marLeft w:val="0"/>
          <w:marRight w:val="0"/>
          <w:marTop w:val="0"/>
          <w:marBottom w:val="0"/>
          <w:divBdr>
            <w:top w:val="none" w:sz="0" w:space="0" w:color="auto"/>
            <w:left w:val="none" w:sz="0" w:space="0" w:color="auto"/>
            <w:bottom w:val="none" w:sz="0" w:space="0" w:color="auto"/>
            <w:right w:val="none" w:sz="0" w:space="0" w:color="auto"/>
          </w:divBdr>
          <w:divsChild>
            <w:div w:id="332146398">
              <w:marLeft w:val="0"/>
              <w:marRight w:val="0"/>
              <w:marTop w:val="0"/>
              <w:marBottom w:val="0"/>
              <w:divBdr>
                <w:top w:val="none" w:sz="0" w:space="0" w:color="auto"/>
                <w:left w:val="none" w:sz="0" w:space="0" w:color="auto"/>
                <w:bottom w:val="none" w:sz="0" w:space="0" w:color="auto"/>
                <w:right w:val="none" w:sz="0" w:space="0" w:color="auto"/>
              </w:divBdr>
            </w:div>
            <w:div w:id="1379862264">
              <w:marLeft w:val="0"/>
              <w:marRight w:val="0"/>
              <w:marTop w:val="0"/>
              <w:marBottom w:val="0"/>
              <w:divBdr>
                <w:top w:val="none" w:sz="0" w:space="0" w:color="auto"/>
                <w:left w:val="none" w:sz="0" w:space="0" w:color="auto"/>
                <w:bottom w:val="none" w:sz="0" w:space="0" w:color="auto"/>
                <w:right w:val="none" w:sz="0" w:space="0" w:color="auto"/>
              </w:divBdr>
            </w:div>
            <w:div w:id="1761640044">
              <w:marLeft w:val="0"/>
              <w:marRight w:val="0"/>
              <w:marTop w:val="0"/>
              <w:marBottom w:val="0"/>
              <w:divBdr>
                <w:top w:val="none" w:sz="0" w:space="0" w:color="auto"/>
                <w:left w:val="none" w:sz="0" w:space="0" w:color="auto"/>
                <w:bottom w:val="none" w:sz="0" w:space="0" w:color="auto"/>
                <w:right w:val="none" w:sz="0" w:space="0" w:color="auto"/>
              </w:divBdr>
            </w:div>
          </w:divsChild>
        </w:div>
        <w:div w:id="646470411">
          <w:marLeft w:val="0"/>
          <w:marRight w:val="0"/>
          <w:marTop w:val="0"/>
          <w:marBottom w:val="0"/>
          <w:divBdr>
            <w:top w:val="none" w:sz="0" w:space="0" w:color="auto"/>
            <w:left w:val="none" w:sz="0" w:space="0" w:color="auto"/>
            <w:bottom w:val="none" w:sz="0" w:space="0" w:color="auto"/>
            <w:right w:val="none" w:sz="0" w:space="0" w:color="auto"/>
          </w:divBdr>
          <w:divsChild>
            <w:div w:id="326523815">
              <w:marLeft w:val="0"/>
              <w:marRight w:val="0"/>
              <w:marTop w:val="0"/>
              <w:marBottom w:val="0"/>
              <w:divBdr>
                <w:top w:val="none" w:sz="0" w:space="0" w:color="auto"/>
                <w:left w:val="none" w:sz="0" w:space="0" w:color="auto"/>
                <w:bottom w:val="none" w:sz="0" w:space="0" w:color="auto"/>
                <w:right w:val="none" w:sz="0" w:space="0" w:color="auto"/>
              </w:divBdr>
            </w:div>
          </w:divsChild>
        </w:div>
        <w:div w:id="1136335978">
          <w:marLeft w:val="0"/>
          <w:marRight w:val="0"/>
          <w:marTop w:val="0"/>
          <w:marBottom w:val="0"/>
          <w:divBdr>
            <w:top w:val="none" w:sz="0" w:space="0" w:color="auto"/>
            <w:left w:val="none" w:sz="0" w:space="0" w:color="auto"/>
            <w:bottom w:val="none" w:sz="0" w:space="0" w:color="auto"/>
            <w:right w:val="none" w:sz="0" w:space="0" w:color="auto"/>
          </w:divBdr>
          <w:divsChild>
            <w:div w:id="507521372">
              <w:marLeft w:val="0"/>
              <w:marRight w:val="0"/>
              <w:marTop w:val="0"/>
              <w:marBottom w:val="0"/>
              <w:divBdr>
                <w:top w:val="none" w:sz="0" w:space="0" w:color="auto"/>
                <w:left w:val="none" w:sz="0" w:space="0" w:color="auto"/>
                <w:bottom w:val="none" w:sz="0" w:space="0" w:color="auto"/>
                <w:right w:val="none" w:sz="0" w:space="0" w:color="auto"/>
              </w:divBdr>
            </w:div>
          </w:divsChild>
        </w:div>
        <w:div w:id="1188718677">
          <w:marLeft w:val="0"/>
          <w:marRight w:val="0"/>
          <w:marTop w:val="0"/>
          <w:marBottom w:val="0"/>
          <w:divBdr>
            <w:top w:val="none" w:sz="0" w:space="0" w:color="auto"/>
            <w:left w:val="none" w:sz="0" w:space="0" w:color="auto"/>
            <w:bottom w:val="none" w:sz="0" w:space="0" w:color="auto"/>
            <w:right w:val="none" w:sz="0" w:space="0" w:color="auto"/>
          </w:divBdr>
          <w:divsChild>
            <w:div w:id="662665003">
              <w:marLeft w:val="0"/>
              <w:marRight w:val="0"/>
              <w:marTop w:val="0"/>
              <w:marBottom w:val="0"/>
              <w:divBdr>
                <w:top w:val="none" w:sz="0" w:space="0" w:color="auto"/>
                <w:left w:val="none" w:sz="0" w:space="0" w:color="auto"/>
                <w:bottom w:val="none" w:sz="0" w:space="0" w:color="auto"/>
                <w:right w:val="none" w:sz="0" w:space="0" w:color="auto"/>
              </w:divBdr>
            </w:div>
          </w:divsChild>
        </w:div>
        <w:div w:id="1431512231">
          <w:marLeft w:val="0"/>
          <w:marRight w:val="0"/>
          <w:marTop w:val="0"/>
          <w:marBottom w:val="0"/>
          <w:divBdr>
            <w:top w:val="none" w:sz="0" w:space="0" w:color="auto"/>
            <w:left w:val="none" w:sz="0" w:space="0" w:color="auto"/>
            <w:bottom w:val="none" w:sz="0" w:space="0" w:color="auto"/>
            <w:right w:val="none" w:sz="0" w:space="0" w:color="auto"/>
          </w:divBdr>
          <w:divsChild>
            <w:div w:id="254480308">
              <w:marLeft w:val="0"/>
              <w:marRight w:val="0"/>
              <w:marTop w:val="0"/>
              <w:marBottom w:val="0"/>
              <w:divBdr>
                <w:top w:val="none" w:sz="0" w:space="0" w:color="auto"/>
                <w:left w:val="none" w:sz="0" w:space="0" w:color="auto"/>
                <w:bottom w:val="none" w:sz="0" w:space="0" w:color="auto"/>
                <w:right w:val="none" w:sz="0" w:space="0" w:color="auto"/>
              </w:divBdr>
            </w:div>
            <w:div w:id="2009021387">
              <w:marLeft w:val="0"/>
              <w:marRight w:val="0"/>
              <w:marTop w:val="0"/>
              <w:marBottom w:val="0"/>
              <w:divBdr>
                <w:top w:val="none" w:sz="0" w:space="0" w:color="auto"/>
                <w:left w:val="none" w:sz="0" w:space="0" w:color="auto"/>
                <w:bottom w:val="none" w:sz="0" w:space="0" w:color="auto"/>
                <w:right w:val="none" w:sz="0" w:space="0" w:color="auto"/>
              </w:divBdr>
            </w:div>
            <w:div w:id="2054573038">
              <w:marLeft w:val="0"/>
              <w:marRight w:val="0"/>
              <w:marTop w:val="0"/>
              <w:marBottom w:val="0"/>
              <w:divBdr>
                <w:top w:val="none" w:sz="0" w:space="0" w:color="auto"/>
                <w:left w:val="none" w:sz="0" w:space="0" w:color="auto"/>
                <w:bottom w:val="none" w:sz="0" w:space="0" w:color="auto"/>
                <w:right w:val="none" w:sz="0" w:space="0" w:color="auto"/>
              </w:divBdr>
            </w:div>
            <w:div w:id="2135828595">
              <w:marLeft w:val="0"/>
              <w:marRight w:val="0"/>
              <w:marTop w:val="0"/>
              <w:marBottom w:val="0"/>
              <w:divBdr>
                <w:top w:val="none" w:sz="0" w:space="0" w:color="auto"/>
                <w:left w:val="none" w:sz="0" w:space="0" w:color="auto"/>
                <w:bottom w:val="none" w:sz="0" w:space="0" w:color="auto"/>
                <w:right w:val="none" w:sz="0" w:space="0" w:color="auto"/>
              </w:divBdr>
            </w:div>
          </w:divsChild>
        </w:div>
        <w:div w:id="1724864671">
          <w:marLeft w:val="0"/>
          <w:marRight w:val="0"/>
          <w:marTop w:val="0"/>
          <w:marBottom w:val="0"/>
          <w:divBdr>
            <w:top w:val="none" w:sz="0" w:space="0" w:color="auto"/>
            <w:left w:val="none" w:sz="0" w:space="0" w:color="auto"/>
            <w:bottom w:val="none" w:sz="0" w:space="0" w:color="auto"/>
            <w:right w:val="none" w:sz="0" w:space="0" w:color="auto"/>
          </w:divBdr>
          <w:divsChild>
            <w:div w:id="1753119729">
              <w:marLeft w:val="0"/>
              <w:marRight w:val="0"/>
              <w:marTop w:val="0"/>
              <w:marBottom w:val="0"/>
              <w:divBdr>
                <w:top w:val="none" w:sz="0" w:space="0" w:color="auto"/>
                <w:left w:val="none" w:sz="0" w:space="0" w:color="auto"/>
                <w:bottom w:val="none" w:sz="0" w:space="0" w:color="auto"/>
                <w:right w:val="none" w:sz="0" w:space="0" w:color="auto"/>
              </w:divBdr>
            </w:div>
          </w:divsChild>
        </w:div>
        <w:div w:id="1841431498">
          <w:marLeft w:val="0"/>
          <w:marRight w:val="0"/>
          <w:marTop w:val="0"/>
          <w:marBottom w:val="0"/>
          <w:divBdr>
            <w:top w:val="none" w:sz="0" w:space="0" w:color="auto"/>
            <w:left w:val="none" w:sz="0" w:space="0" w:color="auto"/>
            <w:bottom w:val="none" w:sz="0" w:space="0" w:color="auto"/>
            <w:right w:val="none" w:sz="0" w:space="0" w:color="auto"/>
          </w:divBdr>
          <w:divsChild>
            <w:div w:id="522017818">
              <w:marLeft w:val="0"/>
              <w:marRight w:val="0"/>
              <w:marTop w:val="0"/>
              <w:marBottom w:val="0"/>
              <w:divBdr>
                <w:top w:val="none" w:sz="0" w:space="0" w:color="auto"/>
                <w:left w:val="none" w:sz="0" w:space="0" w:color="auto"/>
                <w:bottom w:val="none" w:sz="0" w:space="0" w:color="auto"/>
                <w:right w:val="none" w:sz="0" w:space="0" w:color="auto"/>
              </w:divBdr>
            </w:div>
          </w:divsChild>
        </w:div>
        <w:div w:id="2093966131">
          <w:marLeft w:val="0"/>
          <w:marRight w:val="0"/>
          <w:marTop w:val="0"/>
          <w:marBottom w:val="0"/>
          <w:divBdr>
            <w:top w:val="none" w:sz="0" w:space="0" w:color="auto"/>
            <w:left w:val="none" w:sz="0" w:space="0" w:color="auto"/>
            <w:bottom w:val="none" w:sz="0" w:space="0" w:color="auto"/>
            <w:right w:val="none" w:sz="0" w:space="0" w:color="auto"/>
          </w:divBdr>
          <w:divsChild>
            <w:div w:id="20750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994">
      <w:bodyDiv w:val="1"/>
      <w:marLeft w:val="0"/>
      <w:marRight w:val="0"/>
      <w:marTop w:val="0"/>
      <w:marBottom w:val="0"/>
      <w:divBdr>
        <w:top w:val="none" w:sz="0" w:space="0" w:color="auto"/>
        <w:left w:val="none" w:sz="0" w:space="0" w:color="auto"/>
        <w:bottom w:val="none" w:sz="0" w:space="0" w:color="auto"/>
        <w:right w:val="none" w:sz="0" w:space="0" w:color="auto"/>
      </w:divBdr>
    </w:div>
    <w:div w:id="2140609155">
      <w:bodyDiv w:val="1"/>
      <w:marLeft w:val="0"/>
      <w:marRight w:val="0"/>
      <w:marTop w:val="0"/>
      <w:marBottom w:val="0"/>
      <w:divBdr>
        <w:top w:val="none" w:sz="0" w:space="0" w:color="auto"/>
        <w:left w:val="none" w:sz="0" w:space="0" w:color="auto"/>
        <w:bottom w:val="none" w:sz="0" w:space="0" w:color="auto"/>
        <w:right w:val="none" w:sz="0" w:space="0" w:color="auto"/>
      </w:divBdr>
    </w:div>
    <w:div w:id="2145268260">
      <w:bodyDiv w:val="1"/>
      <w:marLeft w:val="0"/>
      <w:marRight w:val="0"/>
      <w:marTop w:val="0"/>
      <w:marBottom w:val="0"/>
      <w:divBdr>
        <w:top w:val="none" w:sz="0" w:space="0" w:color="auto"/>
        <w:left w:val="none" w:sz="0" w:space="0" w:color="auto"/>
        <w:bottom w:val="none" w:sz="0" w:space="0" w:color="auto"/>
        <w:right w:val="none" w:sz="0" w:space="0" w:color="auto"/>
      </w:divBdr>
    </w:div>
    <w:div w:id="2145469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s://mfe.gov.ro/"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mdpi.com/2079-8954/9/2/35" TargetMode="External"/><Relationship Id="rId1" Type="http://schemas.openxmlformats.org/officeDocument/2006/relationships/hyperlink" Target="https://ec.europa.eu/regional_policy/sources/evaluation/expost2013/wp12_final_report.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e2a0fe-1226-4a34-9e06-7c398078da57" xsi:nil="true"/>
    <lcf76f155ced4ddcb4097134ff3c332f xmlns="1f6e3964-c330-437f-9746-f4e74fd478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DF10022B1E084BA25B07402301E731" ma:contentTypeVersion="12" ma:contentTypeDescription="Create a new document." ma:contentTypeScope="" ma:versionID="2c6ed3742ee0b352ef3b343c6299a26e">
  <xsd:schema xmlns:xsd="http://www.w3.org/2001/XMLSchema" xmlns:xs="http://www.w3.org/2001/XMLSchema" xmlns:p="http://schemas.microsoft.com/office/2006/metadata/properties" xmlns:ns2="1f6e3964-c330-437f-9746-f4e74fd478e1" xmlns:ns3="9ee2a0fe-1226-4a34-9e06-7c398078da57" targetNamespace="http://schemas.microsoft.com/office/2006/metadata/properties" ma:root="true" ma:fieldsID="9f1c8ea9c263255cf0110ce64c9cf426" ns2:_="" ns3:_="">
    <xsd:import namespace="1f6e3964-c330-437f-9746-f4e74fd478e1"/>
    <xsd:import namespace="9ee2a0fe-1226-4a34-9e06-7c398078da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e3964-c330-437f-9746-f4e74fd47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e2a0fe-1226-4a34-9e06-7c398078da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42997-951c-4ba9-8169-07f74b848dc3}" ma:internalName="TaxCatchAll" ma:showField="CatchAllData" ma:web="9ee2a0fe-1226-4a34-9e06-7c398078da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6A0A-B2B5-430B-8CC6-F0778BB420F6}">
  <ds:schemaRefs>
    <ds:schemaRef ds:uri="http://schemas.microsoft.com/office/2006/metadata/properties"/>
    <ds:schemaRef ds:uri="http://schemas.microsoft.com/office/infopath/2007/PartnerControls"/>
    <ds:schemaRef ds:uri="9ee2a0fe-1226-4a34-9e06-7c398078da57"/>
    <ds:schemaRef ds:uri="1f6e3964-c330-437f-9746-f4e74fd478e1"/>
  </ds:schemaRefs>
</ds:datastoreItem>
</file>

<file path=customXml/itemProps2.xml><?xml version="1.0" encoding="utf-8"?>
<ds:datastoreItem xmlns:ds="http://schemas.openxmlformats.org/officeDocument/2006/customXml" ds:itemID="{2A62C3F5-625D-45DD-8F70-BD495BD9B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e3964-c330-437f-9746-f4e74fd478e1"/>
    <ds:schemaRef ds:uri="9ee2a0fe-1226-4a34-9e06-7c398078d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D1FB14-9EE6-47E0-AF39-29A70021E305}">
  <ds:schemaRefs>
    <ds:schemaRef ds:uri="http://schemas.microsoft.com/sharepoint/v3/contenttype/forms"/>
  </ds:schemaRefs>
</ds:datastoreItem>
</file>

<file path=customXml/itemProps4.xml><?xml version="1.0" encoding="utf-8"?>
<ds:datastoreItem xmlns:ds="http://schemas.openxmlformats.org/officeDocument/2006/customXml" ds:itemID="{70396DDC-AF8E-40E4-BF37-C46C124F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29250</Words>
  <Characters>166731</Characters>
  <Application>Microsoft Office Word</Application>
  <DocSecurity>0</DocSecurity>
  <Lines>1389</Lines>
  <Paragraphs>391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195590</CharactersWithSpaces>
  <SharedDoc>false</SharedDoc>
  <HLinks>
    <vt:vector size="108" baseType="variant">
      <vt:variant>
        <vt:i4>7798827</vt:i4>
      </vt:variant>
      <vt:variant>
        <vt:i4>93</vt:i4>
      </vt:variant>
      <vt:variant>
        <vt:i4>0</vt:i4>
      </vt:variant>
      <vt:variant>
        <vt:i4>5</vt:i4>
      </vt:variant>
      <vt:variant>
        <vt:lpwstr>https://mfe.gov.ro/</vt:lpwstr>
      </vt:variant>
      <vt:variant>
        <vt:lpwstr/>
      </vt:variant>
      <vt:variant>
        <vt:i4>2031668</vt:i4>
      </vt:variant>
      <vt:variant>
        <vt:i4>86</vt:i4>
      </vt:variant>
      <vt:variant>
        <vt:i4>0</vt:i4>
      </vt:variant>
      <vt:variant>
        <vt:i4>5</vt:i4>
      </vt:variant>
      <vt:variant>
        <vt:lpwstr/>
      </vt:variant>
      <vt:variant>
        <vt:lpwstr>_Toc216119119</vt:lpwstr>
      </vt:variant>
      <vt:variant>
        <vt:i4>2031668</vt:i4>
      </vt:variant>
      <vt:variant>
        <vt:i4>80</vt:i4>
      </vt:variant>
      <vt:variant>
        <vt:i4>0</vt:i4>
      </vt:variant>
      <vt:variant>
        <vt:i4>5</vt:i4>
      </vt:variant>
      <vt:variant>
        <vt:lpwstr/>
      </vt:variant>
      <vt:variant>
        <vt:lpwstr>_Toc216119118</vt:lpwstr>
      </vt:variant>
      <vt:variant>
        <vt:i4>2031668</vt:i4>
      </vt:variant>
      <vt:variant>
        <vt:i4>74</vt:i4>
      </vt:variant>
      <vt:variant>
        <vt:i4>0</vt:i4>
      </vt:variant>
      <vt:variant>
        <vt:i4>5</vt:i4>
      </vt:variant>
      <vt:variant>
        <vt:lpwstr/>
      </vt:variant>
      <vt:variant>
        <vt:lpwstr>_Toc216119117</vt:lpwstr>
      </vt:variant>
      <vt:variant>
        <vt:i4>2031668</vt:i4>
      </vt:variant>
      <vt:variant>
        <vt:i4>68</vt:i4>
      </vt:variant>
      <vt:variant>
        <vt:i4>0</vt:i4>
      </vt:variant>
      <vt:variant>
        <vt:i4>5</vt:i4>
      </vt:variant>
      <vt:variant>
        <vt:lpwstr/>
      </vt:variant>
      <vt:variant>
        <vt:lpwstr>_Toc216119116</vt:lpwstr>
      </vt:variant>
      <vt:variant>
        <vt:i4>2031668</vt:i4>
      </vt:variant>
      <vt:variant>
        <vt:i4>62</vt:i4>
      </vt:variant>
      <vt:variant>
        <vt:i4>0</vt:i4>
      </vt:variant>
      <vt:variant>
        <vt:i4>5</vt:i4>
      </vt:variant>
      <vt:variant>
        <vt:lpwstr/>
      </vt:variant>
      <vt:variant>
        <vt:lpwstr>_Toc216119115</vt:lpwstr>
      </vt:variant>
      <vt:variant>
        <vt:i4>2031668</vt:i4>
      </vt:variant>
      <vt:variant>
        <vt:i4>56</vt:i4>
      </vt:variant>
      <vt:variant>
        <vt:i4>0</vt:i4>
      </vt:variant>
      <vt:variant>
        <vt:i4>5</vt:i4>
      </vt:variant>
      <vt:variant>
        <vt:lpwstr/>
      </vt:variant>
      <vt:variant>
        <vt:lpwstr>_Toc216119114</vt:lpwstr>
      </vt:variant>
      <vt:variant>
        <vt:i4>2031668</vt:i4>
      </vt:variant>
      <vt:variant>
        <vt:i4>50</vt:i4>
      </vt:variant>
      <vt:variant>
        <vt:i4>0</vt:i4>
      </vt:variant>
      <vt:variant>
        <vt:i4>5</vt:i4>
      </vt:variant>
      <vt:variant>
        <vt:lpwstr/>
      </vt:variant>
      <vt:variant>
        <vt:lpwstr>_Toc216119113</vt:lpwstr>
      </vt:variant>
      <vt:variant>
        <vt:i4>2031668</vt:i4>
      </vt:variant>
      <vt:variant>
        <vt:i4>44</vt:i4>
      </vt:variant>
      <vt:variant>
        <vt:i4>0</vt:i4>
      </vt:variant>
      <vt:variant>
        <vt:i4>5</vt:i4>
      </vt:variant>
      <vt:variant>
        <vt:lpwstr/>
      </vt:variant>
      <vt:variant>
        <vt:lpwstr>_Toc216119112</vt:lpwstr>
      </vt:variant>
      <vt:variant>
        <vt:i4>2031668</vt:i4>
      </vt:variant>
      <vt:variant>
        <vt:i4>38</vt:i4>
      </vt:variant>
      <vt:variant>
        <vt:i4>0</vt:i4>
      </vt:variant>
      <vt:variant>
        <vt:i4>5</vt:i4>
      </vt:variant>
      <vt:variant>
        <vt:lpwstr/>
      </vt:variant>
      <vt:variant>
        <vt:lpwstr>_Toc216119111</vt:lpwstr>
      </vt:variant>
      <vt:variant>
        <vt:i4>2031668</vt:i4>
      </vt:variant>
      <vt:variant>
        <vt:i4>32</vt:i4>
      </vt:variant>
      <vt:variant>
        <vt:i4>0</vt:i4>
      </vt:variant>
      <vt:variant>
        <vt:i4>5</vt:i4>
      </vt:variant>
      <vt:variant>
        <vt:lpwstr/>
      </vt:variant>
      <vt:variant>
        <vt:lpwstr>_Toc216119110</vt:lpwstr>
      </vt:variant>
      <vt:variant>
        <vt:i4>1966132</vt:i4>
      </vt:variant>
      <vt:variant>
        <vt:i4>26</vt:i4>
      </vt:variant>
      <vt:variant>
        <vt:i4>0</vt:i4>
      </vt:variant>
      <vt:variant>
        <vt:i4>5</vt:i4>
      </vt:variant>
      <vt:variant>
        <vt:lpwstr/>
      </vt:variant>
      <vt:variant>
        <vt:lpwstr>_Toc216119109</vt:lpwstr>
      </vt:variant>
      <vt:variant>
        <vt:i4>1966132</vt:i4>
      </vt:variant>
      <vt:variant>
        <vt:i4>20</vt:i4>
      </vt:variant>
      <vt:variant>
        <vt:i4>0</vt:i4>
      </vt:variant>
      <vt:variant>
        <vt:i4>5</vt:i4>
      </vt:variant>
      <vt:variant>
        <vt:lpwstr/>
      </vt:variant>
      <vt:variant>
        <vt:lpwstr>_Toc216119108</vt:lpwstr>
      </vt:variant>
      <vt:variant>
        <vt:i4>1966132</vt:i4>
      </vt:variant>
      <vt:variant>
        <vt:i4>14</vt:i4>
      </vt:variant>
      <vt:variant>
        <vt:i4>0</vt:i4>
      </vt:variant>
      <vt:variant>
        <vt:i4>5</vt:i4>
      </vt:variant>
      <vt:variant>
        <vt:lpwstr/>
      </vt:variant>
      <vt:variant>
        <vt:lpwstr>_Toc216119107</vt:lpwstr>
      </vt:variant>
      <vt:variant>
        <vt:i4>1966132</vt:i4>
      </vt:variant>
      <vt:variant>
        <vt:i4>8</vt:i4>
      </vt:variant>
      <vt:variant>
        <vt:i4>0</vt:i4>
      </vt:variant>
      <vt:variant>
        <vt:i4>5</vt:i4>
      </vt:variant>
      <vt:variant>
        <vt:lpwstr/>
      </vt:variant>
      <vt:variant>
        <vt:lpwstr>_Toc216119106</vt:lpwstr>
      </vt:variant>
      <vt:variant>
        <vt:i4>1966132</vt:i4>
      </vt:variant>
      <vt:variant>
        <vt:i4>2</vt:i4>
      </vt:variant>
      <vt:variant>
        <vt:i4>0</vt:i4>
      </vt:variant>
      <vt:variant>
        <vt:i4>5</vt:i4>
      </vt:variant>
      <vt:variant>
        <vt:lpwstr/>
      </vt:variant>
      <vt:variant>
        <vt:lpwstr>_Toc216119105</vt:lpwstr>
      </vt:variant>
      <vt:variant>
        <vt:i4>5636120</vt:i4>
      </vt:variant>
      <vt:variant>
        <vt:i4>3</vt:i4>
      </vt:variant>
      <vt:variant>
        <vt:i4>0</vt:i4>
      </vt:variant>
      <vt:variant>
        <vt:i4>5</vt:i4>
      </vt:variant>
      <vt:variant>
        <vt:lpwstr>https://www.mdpi.com/2079-8954/9/2/35</vt:lpwstr>
      </vt:variant>
      <vt:variant>
        <vt:lpwstr/>
      </vt:variant>
      <vt:variant>
        <vt:i4>6291481</vt:i4>
      </vt:variant>
      <vt:variant>
        <vt:i4>0</vt:i4>
      </vt:variant>
      <vt:variant>
        <vt:i4>0</vt:i4>
      </vt:variant>
      <vt:variant>
        <vt:i4>5</vt:i4>
      </vt:variant>
      <vt:variant>
        <vt:lpwstr>https://ec.europa.eu/regional_policy/sources/evaluation/expost2013/wp12_final_report.pdf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Erika Lengyel</cp:lastModifiedBy>
  <cp:revision>4</cp:revision>
  <cp:lastPrinted>2024-12-28T11:02:00Z</cp:lastPrinted>
  <dcterms:created xsi:type="dcterms:W3CDTF">2026-03-20T11:20:00Z</dcterms:created>
  <dcterms:modified xsi:type="dcterms:W3CDTF">2026-04-08T05:21:00Z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0x01010015DF10022B1E084BA25B07402301E731</vt:lpwstr>
  </property>
  <property fmtid="{D5CDD505-2E9C-101B-9397-08002B2CF9AE}" pid="3" name="MediaServiceImageTags">
    <vt:lpwstr/>
  </property>
  <property fmtid="{D5CDD505-2E9C-101B-9397-08002B2CF9AE}" pid="4" name="GrammarlyDocumentId">
    <vt:lpwstr>43c0a775-dcb0-4264-819c-4f2abf94019e</vt:lpwstr>
  </property>
</Properties>
</file>